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18F9E16A" w14:textId="77777777" w:rsidTr="00B92D0F">
        <w:trPr>
          <w:trHeight w:val="1408"/>
        </w:trPr>
        <w:tc>
          <w:tcPr>
            <w:tcW w:w="5280" w:type="dxa"/>
            <w:tcBorders>
              <w:top w:val="nil"/>
              <w:left w:val="nil"/>
              <w:bottom w:val="nil"/>
              <w:right w:val="nil"/>
            </w:tcBorders>
          </w:tcPr>
          <w:p w14:paraId="2E589FDE"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+*xfs*pvs*Akl*cvA*xBj*qEC*cEE*Bga*mhs*cEc*pBk*-</w:t>
            </w:r>
            <w:r>
              <w:rPr>
                <w:rFonts w:ascii="PDF417x" w:hAnsi="PDF417x"/>
                <w:sz w:val="24"/>
                <w:szCs w:val="24"/>
              </w:rPr>
              <w:br/>
              <w:t>+*yqw*usc*jli*irs*ugc*xDg*snE*gjl*mya*xCc*zew*-</w:t>
            </w:r>
            <w:r>
              <w:rPr>
                <w:rFonts w:ascii="PDF417x" w:hAnsi="PDF417x"/>
                <w:sz w:val="24"/>
                <w:szCs w:val="24"/>
              </w:rPr>
              <w:br/>
              <w:t>+*eDs*ors*lyd*lyd*lyd*sfx*jga*cEy*ujv*mju*zfE*-</w:t>
            </w:r>
            <w:r>
              <w:rPr>
                <w:rFonts w:ascii="PDF417x" w:hAnsi="PDF417x"/>
                <w:sz w:val="24"/>
                <w:szCs w:val="24"/>
              </w:rPr>
              <w:br/>
              <w:t>+*ftw*svi*voC*wwf*snj*cww*xmi*nqE*wuw*nag*onA*-</w:t>
            </w:r>
            <w:r>
              <w:rPr>
                <w:rFonts w:ascii="PDF417x" w:hAnsi="PDF417x"/>
                <w:sz w:val="24"/>
                <w:szCs w:val="24"/>
              </w:rPr>
              <w:br/>
              <w:t>+*ftA*rrx*slm*wCd*xkt*kFu*slo*tak*uDq*ylr*uws*-</w:t>
            </w:r>
            <w:r>
              <w:rPr>
                <w:rFonts w:ascii="PDF417x" w:hAnsi="PDF417x"/>
                <w:sz w:val="24"/>
                <w:szCs w:val="24"/>
              </w:rPr>
              <w:br/>
              <w:t>+*xjq*ozm*jnE*nxq*tjo*yrC*bCg*nmb*trx*EFw*uzq*-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2F6E1E83" w14:textId="77777777" w:rsidTr="00B92D0F">
        <w:trPr>
          <w:trHeight w:val="1408"/>
        </w:trPr>
        <w:tc>
          <w:tcPr>
            <w:tcW w:w="5280" w:type="dxa"/>
            <w:tcBorders>
              <w:top w:val="nil"/>
              <w:left w:val="nil"/>
              <w:bottom w:val="nil"/>
              <w:right w:val="nil"/>
            </w:tcBorders>
          </w:tcPr>
          <w:p w14:paraId="5BFA6128" w14:textId="77777777" w:rsidR="00B92D0F" w:rsidRPr="00B92D0F" w:rsidRDefault="00B92D0F" w:rsidP="00A836D0">
            <w:pPr>
              <w:contextualSpacing/>
              <w:rPr>
                <w:rFonts w:ascii="PDF417x" w:eastAsia="Times New Roman" w:hAnsi="PDF417x" w:cs="Times New Roman"/>
                <w:sz w:val="24"/>
                <w:szCs w:val="24"/>
              </w:rPr>
            </w:pPr>
          </w:p>
        </w:tc>
      </w:tr>
    </w:tbl>
    <w:p w14:paraId="49B221CD" w14:textId="77777777" w:rsidR="008C5FE5" w:rsidRDefault="00B92D0F" w:rsidP="00B92D0F">
      <w:pPr>
        <w:jc w:val="both"/>
        <w:rPr>
          <w:rFonts w:eastAsia="Times New Roman" w:cs="Times New Roman"/>
        </w:rPr>
      </w:pPr>
      <w:r w:rsidRPr="00B92D0F">
        <w:rPr>
          <w:rFonts w:eastAsia="Times New Roman" w:cs="Times New Roman"/>
        </w:rPr>
        <w:drawing>
          <wp:anchor distT="0" distB="0" distL="114300" distR="114300" simplePos="0" relativeHeight="251674624" behindDoc="0" locked="0" layoutInCell="1" allowOverlap="1" wp14:anchorId="7A02E439" wp14:editId="42D169B0">
            <wp:simplePos x="0" y="0"/>
            <wp:positionH relativeFrom="column">
              <wp:posOffset>1153160</wp:posOffset>
            </wp:positionH>
            <wp:positionV relativeFrom="paragraph">
              <wp:posOffset>-398145</wp:posOffset>
            </wp:positionV>
            <wp:extent cx="335915" cy="445135"/>
            <wp:effectExtent l="0" t="0" r="0" b="0"/>
            <wp:wrapNone/>
            <wp:docPr id="1" name="Slika 1"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915" cy="445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1CB8B" w14:textId="3AE56BB9" w:rsidR="008C5FE5" w:rsidRDefault="003F65C1" w:rsidP="007C7BD9">
      <w:pPr>
        <w:jc w:val="cente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REPUBLIKA HRVATSKA</w:t>
      </w:r>
    </w:p>
    <w:p w14:paraId="43B2505C" w14:textId="000D7F44" w:rsidR="007C7BD9" w:rsidRDefault="007C7BD9" w:rsidP="007C7BD9">
      <w:pPr>
        <w:jc w:val="cente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VUKOVARSKO SRIJEMSKA ŽUPANIJA</w:t>
      </w:r>
    </w:p>
    <w:p w14:paraId="16485C1A" w14:textId="33BB1DF1" w:rsidR="007C7BD9" w:rsidRDefault="007C7BD9" w:rsidP="007C7BD9">
      <w:pPr>
        <w:jc w:val="cente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OPĆINA NUŠTAR</w:t>
      </w:r>
    </w:p>
    <w:p w14:paraId="75F812B6" w14:textId="77777777" w:rsidR="008C5FE5" w:rsidRDefault="008C5FE5" w:rsidP="00B92D0F">
      <w:pPr>
        <w:jc w:val="both"/>
        <w:rPr>
          <w:rFonts w:ascii="Calibri" w:eastAsia="Times New Roman" w:hAnsi="Calibri" w:cs="Calibri"/>
          <w:noProof w:val="0"/>
          <w:color w:val="000000"/>
          <w:lang w:eastAsia="hr-HR"/>
        </w:rPr>
      </w:pPr>
    </w:p>
    <w:p w14:paraId="2E955F68" w14:textId="466A4579" w:rsidR="00B92D0F" w:rsidRPr="00B92D0F" w:rsidRDefault="00B92D0F" w:rsidP="00B92D0F">
      <w:pPr>
        <w:jc w:val="both"/>
        <w:rPr>
          <w:rFonts w:eastAsia="Times New Roman" w:cs="Times New Roman"/>
          <w:noProof w:val="0"/>
        </w:rPr>
      </w:pP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p>
    <w:p w14:paraId="3379EE20" w14:textId="77777777" w:rsidR="00B92D0F" w:rsidRPr="00B92D0F" w:rsidRDefault="00B92D0F" w:rsidP="00B92D0F">
      <w:pPr>
        <w:jc w:val="both"/>
        <w:rPr>
          <w:rFonts w:eastAsia="Times New Roman" w:cs="Times New Roman"/>
          <w:noProof w:val="0"/>
        </w:rPr>
      </w:pPr>
    </w:p>
    <w:p w14:paraId="67B11731" w14:textId="77C2F2BF" w:rsidR="00B92D0F" w:rsidRPr="00275B0C" w:rsidRDefault="00C9578C" w:rsidP="00B92D0F">
      <w:r>
        <w:rPr>
          <w:rFonts w:ascii="Calibri" w:eastAsia="Times New Roman" w:hAnsi="Calibri" w:cs="Calibri"/>
          <w:noProof w:val="0"/>
          <w:color w:val="000000"/>
          <w:lang w:eastAsia="hr-HR"/>
        </w:rPr>
        <w:t>KLASA:</w:t>
      </w:r>
      <w:r w:rsidR="00275B0C">
        <w:rPr>
          <w:rFonts w:ascii="Calibri" w:eastAsia="Times New Roman" w:hAnsi="Calibri" w:cs="Calibri"/>
          <w:noProof w:val="0"/>
          <w:color w:val="000000"/>
          <w:lang w:eastAsia="hr-HR"/>
        </w:rPr>
        <w:t xml:space="preserve"> </w:t>
      </w:r>
      <w:r>
        <w:rPr>
          <w:rFonts w:ascii="Calibri" w:eastAsia="Times New Roman" w:hAnsi="Calibri" w:cs="Calibri"/>
          <w:noProof w:val="0"/>
          <w:color w:val="000000"/>
          <w:lang w:eastAsia="hr-HR"/>
        </w:rPr>
        <w:t xml:space="preserve"> </w:t>
      </w:r>
      <w:r w:rsidR="00B92D0F" w:rsidRPr="00B92D0F">
        <w:rPr>
          <w:rFonts w:ascii="Calibri" w:eastAsia="Times New Roman" w:hAnsi="Calibri" w:cs="Calibri"/>
          <w:noProof w:val="0"/>
          <w:color w:val="000000"/>
          <w:lang w:eastAsia="hr-HR"/>
        </w:rPr>
        <w:t>400-01/26-01/01</w:t>
      </w:r>
      <w:r w:rsidR="008C5FE5">
        <w:rPr>
          <w:rFonts w:ascii="Calibri" w:eastAsia="Times New Roman" w:hAnsi="Calibri" w:cs="Calibri"/>
          <w:noProof w:val="0"/>
          <w:color w:val="000000"/>
          <w:lang w:eastAsia="hr-HR"/>
        </w:rPr>
        <w:t xml:space="preserve"> </w:t>
      </w:r>
    </w:p>
    <w:p w14:paraId="0FD39D47" w14:textId="3B225B5A" w:rsidR="00B92D0F" w:rsidRPr="00B92D0F" w:rsidRDefault="00C9578C" w:rsidP="00B92D0F">
      <w:pP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 xml:space="preserve">URBROJ: </w:t>
      </w:r>
      <w:r w:rsidR="00B92D0F" w:rsidRPr="00B92D0F">
        <w:rPr>
          <w:rFonts w:ascii="Calibri" w:eastAsia="Times New Roman" w:hAnsi="Calibri" w:cs="Calibri"/>
          <w:noProof w:val="0"/>
          <w:color w:val="000000"/>
          <w:lang w:eastAsia="hr-HR"/>
        </w:rPr>
        <w:t>2196-21-03/01-26-1</w:t>
      </w:r>
    </w:p>
    <w:p w14:paraId="4445648A" w14:textId="120FB7DE" w:rsidR="00B92D0F" w:rsidRPr="00B92D0F" w:rsidRDefault="009B1F0C" w:rsidP="00B92D0F">
      <w:pPr>
        <w:rPr>
          <w:rFonts w:ascii="Calibri" w:eastAsia="Times New Roman" w:hAnsi="Calibri" w:cs="Calibri"/>
          <w:noProof w:val="0"/>
          <w:color w:val="000000"/>
          <w:lang w:eastAsia="hr-HR"/>
        </w:rPr>
      </w:pPr>
      <w:r w:rsidRPr="009B1F0C">
        <w:rPr>
          <w:rFonts w:ascii="Calibri" w:eastAsia="Times New Roman" w:hAnsi="Calibri" w:cs="Calibri"/>
          <w:noProof w:val="0"/>
          <w:lang w:eastAsia="hr-HR"/>
        </w:rPr>
        <w:t>N</w:t>
      </w:r>
      <w:r w:rsidR="007C7BD9">
        <w:rPr>
          <w:rFonts w:ascii="Calibri" w:eastAsia="Times New Roman" w:hAnsi="Calibri" w:cs="Calibri"/>
          <w:noProof w:val="0"/>
          <w:lang w:eastAsia="hr-HR"/>
        </w:rPr>
        <w:t>uštar</w:t>
      </w:r>
      <w:r w:rsidR="00C9578C" w:rsidRPr="003F65C1">
        <w:rPr>
          <w:rFonts w:ascii="Calibri" w:eastAsia="Times New Roman" w:hAnsi="Calibri" w:cs="Calibri"/>
          <w:noProof w:val="0"/>
          <w:lang w:eastAsia="hr-HR"/>
        </w:rPr>
        <w:t xml:space="preserve">, </w:t>
      </w:r>
      <w:r w:rsidR="00B92D0F" w:rsidRPr="00B92D0F">
        <w:rPr>
          <w:rFonts w:ascii="Calibri" w:eastAsia="Times New Roman" w:hAnsi="Calibri" w:cs="Calibri"/>
          <w:noProof w:val="0"/>
          <w:color w:val="000000"/>
          <w:lang w:eastAsia="hr-HR"/>
        </w:rPr>
        <w:t>17.09.2026.</w:t>
      </w:r>
    </w:p>
    <w:p w14:paraId="6288A7D1" w14:textId="77777777" w:rsidR="00B92D0F" w:rsidRPr="00B92D0F" w:rsidRDefault="00B92D0F" w:rsidP="00B92D0F">
      <w:pPr>
        <w:spacing w:after="160" w:line="259" w:lineRule="auto"/>
        <w:rPr>
          <w:rFonts w:eastAsia="Times New Roman" w:cs="Times New Roman"/>
          <w:noProof w:val="0"/>
        </w:rPr>
      </w:pPr>
    </w:p>
    <w:p w14:paraId="1BD4E6FF" w14:textId="77777777" w:rsidR="00D707B3" w:rsidRDefault="00D707B3" w:rsidP="00D707B3"/>
    <w:p w14:paraId="51AE9230" w14:textId="77777777" w:rsidR="00D707B3" w:rsidRPr="0063773E" w:rsidRDefault="00D707B3" w:rsidP="00D707B3">
      <w:pPr>
        <w:jc w:val="right"/>
        <w:rPr>
          <w:rFonts w:ascii="Calibri" w:eastAsia="Times New Roman" w:hAnsi="Calibri" w:cs="Calibri"/>
          <w:color w:val="000000"/>
          <w:lang w:eastAsia="hr-HR"/>
        </w:rPr>
      </w:pPr>
    </w:p>
    <w:p w14:paraId="312B1534" w14:textId="77777777" w:rsidR="00D707B3" w:rsidRDefault="00D707B3" w:rsidP="00D707B3">
      <w:pPr>
        <w:jc w:val="right"/>
        <w:rPr>
          <w:rFonts w:ascii="Calibri" w:eastAsia="Times New Roman" w:hAnsi="Calibri" w:cs="Calibri"/>
          <w:color w:val="000000"/>
          <w:lang w:eastAsia="hr-HR"/>
        </w:rPr>
      </w:pPr>
      <w:r>
        <w:rPr>
          <w:rFonts w:ascii="Calibri" w:eastAsia="Times New Roman" w:hAnsi="Calibri" w:cs="Calibri"/>
          <w:color w:val="000000"/>
          <w:lang w:eastAsia="hr-HR"/>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8755"/>
      </w:tblGrid>
      <w:tr w:rsidR="00B8467B" w:rsidRPr="00B8467B" w14:paraId="1B8A8CDB" w14:textId="77777777" w:rsidTr="007A31C6">
        <w:trPr>
          <w:trHeight w:val="388"/>
        </w:trPr>
        <w:tc>
          <w:tcPr>
            <w:tcW w:w="8755" w:type="dxa"/>
          </w:tcPr>
          <w:p w14:paraId="50C18EB5" w14:textId="77777777" w:rsidR="00B8467B" w:rsidRPr="00B8467B" w:rsidRDefault="00B8467B" w:rsidP="00B8467B">
            <w:pPr>
              <w:rPr>
                <w:rFonts w:ascii="Calibri" w:eastAsia="Times New Roman" w:hAnsi="Calibri" w:cs="Calibri"/>
                <w:color w:val="000000"/>
                <w:lang w:eastAsia="hr-HR"/>
              </w:rPr>
            </w:pPr>
          </w:p>
          <w:p w14:paraId="27568CE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w:t>
            </w:r>
          </w:p>
          <w:p w14:paraId="3E69341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PRORAČUNSKIM KORISNICIMA </w:t>
            </w:r>
          </w:p>
          <w:p w14:paraId="650047F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b/>
                <w:bCs/>
                <w:color w:val="000000"/>
                <w:lang w:eastAsia="hr-HR"/>
              </w:rPr>
              <w:t xml:space="preserve">                                                                         Općine Nuštar</w:t>
            </w:r>
          </w:p>
          <w:p w14:paraId="56D4F6D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 svima </w:t>
            </w:r>
          </w:p>
          <w:p w14:paraId="430E6D79" w14:textId="77777777" w:rsidR="00B8467B" w:rsidRPr="00B8467B" w:rsidRDefault="00B8467B" w:rsidP="00B8467B">
            <w:pPr>
              <w:rPr>
                <w:rFonts w:ascii="Calibri" w:eastAsia="Times New Roman" w:hAnsi="Calibri" w:cs="Calibri"/>
                <w:color w:val="000000"/>
                <w:lang w:eastAsia="hr-HR"/>
              </w:rPr>
            </w:pPr>
          </w:p>
        </w:tc>
      </w:tr>
      <w:tr w:rsidR="00B8467B" w:rsidRPr="00B8467B" w14:paraId="1C8A24A3" w14:textId="77777777" w:rsidTr="007A31C6">
        <w:trPr>
          <w:trHeight w:val="388"/>
        </w:trPr>
        <w:tc>
          <w:tcPr>
            <w:tcW w:w="8755" w:type="dxa"/>
          </w:tcPr>
          <w:p w14:paraId="2D4A757E" w14:textId="77777777" w:rsidR="00B8467B" w:rsidRPr="00B8467B" w:rsidRDefault="00B8467B" w:rsidP="00B8467B">
            <w:pPr>
              <w:rPr>
                <w:rFonts w:ascii="Calibri" w:eastAsia="Times New Roman" w:hAnsi="Calibri" w:cs="Calibri"/>
                <w:color w:val="000000"/>
                <w:lang w:eastAsia="hr-HR"/>
              </w:rPr>
            </w:pPr>
          </w:p>
        </w:tc>
      </w:tr>
    </w:tbl>
    <w:p w14:paraId="7AAC4E17" w14:textId="77777777" w:rsidR="00B8467B" w:rsidRPr="00B8467B" w:rsidRDefault="00B8467B" w:rsidP="00B8467B">
      <w:pPr>
        <w:rPr>
          <w:rFonts w:ascii="Calibri" w:eastAsia="Times New Roman" w:hAnsi="Calibri" w:cs="Calibri"/>
          <w:color w:val="000000"/>
          <w:lang w:eastAsia="hr-HR"/>
        </w:rPr>
      </w:pPr>
    </w:p>
    <w:p w14:paraId="3F3CB02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b/>
          <w:bCs/>
          <w:color w:val="000000"/>
          <w:lang w:eastAsia="hr-HR"/>
        </w:rPr>
        <w:t>PREDMET:  Upute za izradu proračuna Općine Nuštar i financijskih planova proračunskih korisnika za razdoblje 2027. – 2029. i izmjene i dopune financijskih planova za 2026. godinu</w:t>
      </w:r>
    </w:p>
    <w:p w14:paraId="163DD1DC" w14:textId="77777777" w:rsidR="00B8467B" w:rsidRPr="00B8467B" w:rsidRDefault="00B8467B" w:rsidP="00B8467B">
      <w:pPr>
        <w:rPr>
          <w:rFonts w:ascii="Calibri" w:eastAsia="Times New Roman" w:hAnsi="Calibri" w:cs="Calibri"/>
          <w:color w:val="000000"/>
          <w:lang w:eastAsia="hr-HR"/>
        </w:rPr>
      </w:pPr>
    </w:p>
    <w:p w14:paraId="5CA89FAA"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U skladu sa odredbama Zakona o proračunu (NN, broj 144/21 i Uputa za izradu proračuna jedinica lokalne i područne (regionalne) samouprave za razdoblje 2027.-2029. dostavljamo Vam Upute za izradu proračuna Općine Nuštar i financijskih planova proračunskih korisnika za razdoblje od 2027. – 2029. godine i izmjena i dopuna financijskih planova za 2026. godinu. </w:t>
      </w:r>
    </w:p>
    <w:p w14:paraId="4C02262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Pod proračunskim korisnicima podrazumijevaju se ustanove čiji se rashodi za zaposlene i materijalni rashodi osiguravaju u proračunu Općine Nuštar.</w:t>
      </w:r>
    </w:p>
    <w:p w14:paraId="097FA25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Financijski plan proračunski korisnici dužni su dostaviti do 5. listopada 2026.g.</w:t>
      </w:r>
    </w:p>
    <w:p w14:paraId="00844944" w14:textId="77777777" w:rsidR="00B8467B" w:rsidRPr="00B8467B" w:rsidRDefault="00B8467B" w:rsidP="00B8467B">
      <w:pPr>
        <w:rPr>
          <w:rFonts w:ascii="Calibri" w:eastAsia="Times New Roman" w:hAnsi="Calibri" w:cs="Calibri"/>
          <w:color w:val="000000"/>
          <w:lang w:eastAsia="hr-HR"/>
        </w:rPr>
      </w:pPr>
    </w:p>
    <w:p w14:paraId="6DFB5EC3"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Prilog – Upute za izradu proračuna</w:t>
      </w:r>
    </w:p>
    <w:p w14:paraId="5F6F4D5C" w14:textId="77777777" w:rsidR="00B8467B" w:rsidRPr="00B8467B" w:rsidRDefault="00B8467B" w:rsidP="00B8467B">
      <w:pPr>
        <w:rPr>
          <w:rFonts w:ascii="Calibri" w:eastAsia="Times New Roman" w:hAnsi="Calibri" w:cs="Calibri"/>
          <w:color w:val="000000"/>
          <w:lang w:eastAsia="hr-HR"/>
        </w:rPr>
      </w:pPr>
    </w:p>
    <w:p w14:paraId="4BF7A4CD" w14:textId="77777777" w:rsidR="00B8467B" w:rsidRPr="00B8467B" w:rsidRDefault="00B8467B" w:rsidP="00B8467B">
      <w:pPr>
        <w:rPr>
          <w:rFonts w:ascii="Calibri" w:eastAsia="Times New Roman" w:hAnsi="Calibri" w:cs="Calibri"/>
          <w:color w:val="000000"/>
          <w:lang w:eastAsia="hr-HR"/>
        </w:rPr>
      </w:pPr>
    </w:p>
    <w:p w14:paraId="767A3944" w14:textId="77777777" w:rsidR="00B8467B" w:rsidRPr="00B8467B" w:rsidRDefault="00B8467B" w:rsidP="00B8467B">
      <w:pPr>
        <w:rPr>
          <w:rFonts w:ascii="Calibri" w:eastAsia="Times New Roman" w:hAnsi="Calibri" w:cs="Calibri"/>
          <w:color w:val="000000"/>
          <w:lang w:eastAsia="hr-HR"/>
        </w:rPr>
      </w:pPr>
    </w:p>
    <w:p w14:paraId="49F3DC04" w14:textId="77777777" w:rsidR="00B8467B" w:rsidRPr="00B8467B" w:rsidRDefault="00B8467B" w:rsidP="00B8467B">
      <w:pPr>
        <w:rPr>
          <w:rFonts w:ascii="Calibri" w:eastAsia="Times New Roman" w:hAnsi="Calibri" w:cs="Calibri"/>
          <w:color w:val="000000"/>
          <w:lang w:eastAsia="hr-HR"/>
        </w:rPr>
      </w:pPr>
    </w:p>
    <w:p w14:paraId="2B4C581A"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t>Pročelnica</w:t>
      </w:r>
    </w:p>
    <w:p w14:paraId="2ADC9E5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t xml:space="preserve">       Maja Matijašević</w:t>
      </w:r>
    </w:p>
    <w:p w14:paraId="6CB30841" w14:textId="77777777" w:rsidR="00B8467B" w:rsidRPr="00B8467B" w:rsidRDefault="00B8467B" w:rsidP="00B8467B">
      <w:pPr>
        <w:rPr>
          <w:rFonts w:ascii="Calibri" w:eastAsia="Times New Roman" w:hAnsi="Calibri" w:cs="Calibri"/>
          <w:color w:val="000000"/>
          <w:lang w:eastAsia="hr-HR"/>
        </w:rPr>
      </w:pPr>
    </w:p>
    <w:p w14:paraId="2B509C9A" w14:textId="77777777" w:rsidR="00B8467B" w:rsidRPr="00B8467B" w:rsidRDefault="00B8467B" w:rsidP="00B8467B">
      <w:pPr>
        <w:rPr>
          <w:rFonts w:ascii="Calibri" w:eastAsia="Times New Roman" w:hAnsi="Calibri" w:cs="Calibri"/>
          <w:color w:val="000000"/>
          <w:lang w:eastAsia="hr-HR"/>
        </w:rPr>
      </w:pPr>
    </w:p>
    <w:p w14:paraId="4E948481" w14:textId="77777777" w:rsidR="00B8467B" w:rsidRPr="00B8467B" w:rsidRDefault="00B8467B" w:rsidP="00B8467B">
      <w:pPr>
        <w:rPr>
          <w:rFonts w:ascii="Calibri" w:eastAsia="Times New Roman" w:hAnsi="Calibri" w:cs="Calibri"/>
          <w:color w:val="000000"/>
          <w:lang w:eastAsia="hr-HR"/>
        </w:rPr>
      </w:pPr>
    </w:p>
    <w:p w14:paraId="32AC2A6C" w14:textId="77777777" w:rsidR="00B8467B" w:rsidRPr="00B8467B" w:rsidRDefault="00B8467B" w:rsidP="00B8467B">
      <w:pPr>
        <w:rPr>
          <w:rFonts w:ascii="Calibri" w:eastAsia="Times New Roman" w:hAnsi="Calibri" w:cs="Calibri"/>
          <w:color w:val="000000"/>
          <w:lang w:eastAsia="hr-HR"/>
        </w:rPr>
      </w:pPr>
    </w:p>
    <w:p w14:paraId="11E437BF" w14:textId="77777777" w:rsidR="00B8467B" w:rsidRPr="00B8467B" w:rsidRDefault="00B8467B" w:rsidP="00B8467B">
      <w:pPr>
        <w:rPr>
          <w:rFonts w:ascii="Calibri" w:eastAsia="Times New Roman" w:hAnsi="Calibri" w:cs="Calibri"/>
          <w:color w:val="000000"/>
          <w:lang w:eastAsia="hr-HR"/>
        </w:rPr>
      </w:pPr>
    </w:p>
    <w:p w14:paraId="7B3B4AF0" w14:textId="77777777" w:rsidR="00B8467B" w:rsidRPr="00B8467B" w:rsidRDefault="00B8467B" w:rsidP="00B8467B">
      <w:pPr>
        <w:rPr>
          <w:rFonts w:ascii="Calibri" w:eastAsia="Times New Roman" w:hAnsi="Calibri" w:cs="Calibri"/>
          <w:color w:val="000000"/>
          <w:lang w:eastAsia="hr-HR"/>
        </w:rPr>
      </w:pPr>
    </w:p>
    <w:p w14:paraId="2CB6CE01" w14:textId="77777777" w:rsidR="00B8467B" w:rsidRPr="00B8467B" w:rsidRDefault="00B8467B" w:rsidP="00B8467B">
      <w:pPr>
        <w:rPr>
          <w:rFonts w:ascii="Calibri" w:eastAsia="Times New Roman" w:hAnsi="Calibri" w:cs="Calibri"/>
          <w:color w:val="000000"/>
          <w:lang w:eastAsia="hr-HR"/>
        </w:rPr>
      </w:pPr>
    </w:p>
    <w:p w14:paraId="7C09B6BB" w14:textId="77777777" w:rsidR="00B8467B" w:rsidRPr="00B8467B" w:rsidRDefault="00B8467B" w:rsidP="00B8467B">
      <w:pPr>
        <w:rPr>
          <w:rFonts w:ascii="Calibri" w:eastAsia="Times New Roman" w:hAnsi="Calibri" w:cs="Calibri"/>
          <w:color w:val="000000"/>
          <w:lang w:eastAsia="hr-HR"/>
        </w:rPr>
      </w:pPr>
    </w:p>
    <w:p w14:paraId="1BB410E2" w14:textId="77777777" w:rsidR="00B8467B" w:rsidRPr="00B8467B" w:rsidRDefault="00B8467B" w:rsidP="00B8467B">
      <w:pPr>
        <w:rPr>
          <w:rFonts w:ascii="Calibri" w:eastAsia="Times New Roman" w:hAnsi="Calibri" w:cs="Calibri"/>
          <w:color w:val="000000"/>
          <w:lang w:eastAsia="hr-HR"/>
        </w:rPr>
      </w:pPr>
    </w:p>
    <w:p w14:paraId="65F865C5" w14:textId="77777777" w:rsidR="00B8467B" w:rsidRPr="00B8467B" w:rsidRDefault="00B8467B" w:rsidP="00B8467B">
      <w:pPr>
        <w:rPr>
          <w:rFonts w:ascii="Calibri" w:eastAsia="Times New Roman" w:hAnsi="Calibri" w:cs="Calibri"/>
          <w:color w:val="000000"/>
          <w:lang w:eastAsia="hr-HR"/>
        </w:rPr>
      </w:pPr>
    </w:p>
    <w:p w14:paraId="05653533" w14:textId="77777777" w:rsidR="00B8467B" w:rsidRPr="00B8467B" w:rsidRDefault="00B8467B" w:rsidP="00B8467B">
      <w:pPr>
        <w:rPr>
          <w:rFonts w:ascii="Calibri" w:eastAsia="Times New Roman" w:hAnsi="Calibri" w:cs="Calibri"/>
          <w:color w:val="000000"/>
          <w:lang w:eastAsia="hr-HR"/>
        </w:rPr>
      </w:pPr>
    </w:p>
    <w:p w14:paraId="16B697F5" w14:textId="77777777" w:rsidR="00B8467B" w:rsidRPr="00B8467B" w:rsidRDefault="00B8467B" w:rsidP="00B8467B">
      <w:pPr>
        <w:rPr>
          <w:rFonts w:ascii="Calibri" w:eastAsia="Times New Roman" w:hAnsi="Calibri" w:cs="Calibri"/>
          <w:color w:val="000000"/>
          <w:lang w:eastAsia="hr-HR"/>
        </w:rPr>
      </w:pPr>
    </w:p>
    <w:p w14:paraId="75F04ED8" w14:textId="77777777" w:rsidR="00B8467B" w:rsidRPr="00B8467B" w:rsidRDefault="00B8467B" w:rsidP="00B8467B">
      <w:pPr>
        <w:rPr>
          <w:rFonts w:ascii="Calibri" w:eastAsia="Times New Roman" w:hAnsi="Calibri" w:cs="Calibri"/>
          <w:color w:val="000000"/>
          <w:lang w:eastAsia="hr-HR"/>
        </w:rPr>
      </w:pPr>
    </w:p>
    <w:p w14:paraId="1F0DA131" w14:textId="77777777" w:rsidR="00B8467B" w:rsidRPr="00B8467B" w:rsidRDefault="00B8467B" w:rsidP="00B8467B">
      <w:pPr>
        <w:rPr>
          <w:rFonts w:ascii="Calibri" w:eastAsia="Times New Roman" w:hAnsi="Calibri" w:cs="Calibri"/>
          <w:color w:val="000000"/>
          <w:lang w:eastAsia="hr-HR"/>
        </w:rPr>
      </w:pPr>
    </w:p>
    <w:p w14:paraId="68ED9DDB" w14:textId="77777777" w:rsidR="00B8467B" w:rsidRPr="00B8467B" w:rsidRDefault="00B8467B" w:rsidP="00B8467B">
      <w:pPr>
        <w:rPr>
          <w:rFonts w:ascii="Calibri" w:eastAsia="Times New Roman" w:hAnsi="Calibri" w:cs="Calibri"/>
          <w:color w:val="000000"/>
          <w:lang w:eastAsia="hr-HR"/>
        </w:rPr>
      </w:pPr>
    </w:p>
    <w:p w14:paraId="7ECDB837" w14:textId="77777777" w:rsidR="00B8467B" w:rsidRPr="00B8467B" w:rsidRDefault="00B8467B" w:rsidP="00B8467B">
      <w:pPr>
        <w:rPr>
          <w:rFonts w:ascii="Calibri" w:eastAsia="Times New Roman" w:hAnsi="Calibri" w:cs="Calibri"/>
          <w:color w:val="000000"/>
          <w:lang w:eastAsia="hr-HR"/>
        </w:rPr>
      </w:pPr>
    </w:p>
    <w:p w14:paraId="35211822" w14:textId="77777777" w:rsidR="00B8467B" w:rsidRPr="00B8467B" w:rsidRDefault="00B8467B" w:rsidP="00B8467B">
      <w:pPr>
        <w:rPr>
          <w:rFonts w:ascii="Calibri" w:eastAsia="Times New Roman" w:hAnsi="Calibri" w:cs="Calibri"/>
          <w:color w:val="000000"/>
          <w:lang w:eastAsia="hr-HR"/>
        </w:rPr>
      </w:pPr>
    </w:p>
    <w:p w14:paraId="51A79775" w14:textId="77777777" w:rsidR="00B8467B" w:rsidRPr="00B8467B" w:rsidRDefault="00B8467B" w:rsidP="00B8467B">
      <w:pPr>
        <w:rPr>
          <w:rFonts w:ascii="Calibri" w:eastAsia="Times New Roman" w:hAnsi="Calibri" w:cs="Calibri"/>
          <w:color w:val="000000"/>
          <w:lang w:eastAsia="hr-HR"/>
        </w:rPr>
      </w:pPr>
    </w:p>
    <w:p w14:paraId="256A4BCE" w14:textId="77777777" w:rsidR="00B8467B" w:rsidRPr="00B8467B" w:rsidRDefault="00B8467B" w:rsidP="00B8467B">
      <w:pPr>
        <w:rPr>
          <w:rFonts w:ascii="Calibri" w:eastAsia="Times New Roman" w:hAnsi="Calibri" w:cs="Calibri"/>
          <w:color w:val="000000"/>
          <w:lang w:eastAsia="hr-HR"/>
        </w:rPr>
      </w:pPr>
    </w:p>
    <w:p w14:paraId="79EAF1AD" w14:textId="77777777" w:rsidR="00B8467B" w:rsidRPr="00B8467B" w:rsidRDefault="00B8467B" w:rsidP="00B8467B">
      <w:pPr>
        <w:rPr>
          <w:rFonts w:ascii="Calibri" w:eastAsia="Times New Roman" w:hAnsi="Calibri" w:cs="Calibri"/>
          <w:color w:val="000000"/>
          <w:lang w:eastAsia="hr-HR"/>
        </w:rPr>
      </w:pPr>
    </w:p>
    <w:p w14:paraId="454683DE" w14:textId="77777777" w:rsidR="00B8467B" w:rsidRPr="00B8467B" w:rsidRDefault="00B8467B" w:rsidP="00B8467B">
      <w:pPr>
        <w:rPr>
          <w:rFonts w:ascii="Calibri" w:eastAsia="Times New Roman" w:hAnsi="Calibri" w:cs="Calibri"/>
          <w:color w:val="000000"/>
          <w:lang w:eastAsia="hr-HR"/>
        </w:rPr>
      </w:pPr>
    </w:p>
    <w:p w14:paraId="3D3DA59A" w14:textId="77777777" w:rsidR="00B8467B" w:rsidRPr="00B8467B" w:rsidRDefault="00B8467B" w:rsidP="00B8467B">
      <w:pPr>
        <w:rPr>
          <w:rFonts w:ascii="Calibri" w:eastAsia="Times New Roman" w:hAnsi="Calibri" w:cs="Calibri"/>
          <w:color w:val="000000"/>
          <w:lang w:eastAsia="hr-HR"/>
        </w:rPr>
      </w:pPr>
    </w:p>
    <w:p w14:paraId="0106E981" w14:textId="77777777" w:rsidR="00B8467B" w:rsidRPr="00B8467B" w:rsidRDefault="00B8467B" w:rsidP="00B8467B">
      <w:pPr>
        <w:rPr>
          <w:rFonts w:ascii="Calibri" w:eastAsia="Times New Roman" w:hAnsi="Calibri" w:cs="Calibri"/>
          <w:color w:val="000000"/>
          <w:lang w:eastAsia="hr-HR"/>
        </w:rPr>
      </w:pPr>
    </w:p>
    <w:p w14:paraId="0138A434" w14:textId="77777777" w:rsidR="00B8467B" w:rsidRPr="00B8467B" w:rsidRDefault="00B8467B" w:rsidP="00B8467B">
      <w:pPr>
        <w:rPr>
          <w:rFonts w:ascii="Calibri" w:eastAsia="Times New Roman" w:hAnsi="Calibri" w:cs="Calibri"/>
          <w:color w:val="000000"/>
          <w:lang w:eastAsia="hr-HR"/>
        </w:rPr>
      </w:pPr>
    </w:p>
    <w:p w14:paraId="7500040E" w14:textId="77777777" w:rsidR="00B8467B" w:rsidRPr="00B8467B" w:rsidRDefault="00B8467B" w:rsidP="00B8467B">
      <w:pPr>
        <w:rPr>
          <w:rFonts w:ascii="Calibri" w:eastAsia="Times New Roman" w:hAnsi="Calibri" w:cs="Calibri"/>
          <w:color w:val="000000"/>
          <w:lang w:eastAsia="hr-HR"/>
        </w:rPr>
      </w:pPr>
    </w:p>
    <w:p w14:paraId="0D394307" w14:textId="77777777" w:rsidR="00B8467B" w:rsidRPr="00B8467B" w:rsidRDefault="00B8467B" w:rsidP="00B8467B">
      <w:pPr>
        <w:rPr>
          <w:rFonts w:ascii="Calibri" w:eastAsia="Times New Roman" w:hAnsi="Calibri" w:cs="Calibri"/>
          <w:color w:val="000000"/>
          <w:lang w:eastAsia="hr-HR"/>
        </w:rPr>
      </w:pPr>
    </w:p>
    <w:p w14:paraId="68CD26FA" w14:textId="77777777" w:rsidR="00B8467B" w:rsidRPr="00B8467B" w:rsidRDefault="00B8467B" w:rsidP="00B8467B">
      <w:pPr>
        <w:jc w:val="center"/>
        <w:rPr>
          <w:rFonts w:ascii="Calibri" w:eastAsia="Times New Roman" w:hAnsi="Calibri" w:cs="Calibri"/>
          <w:color w:val="000000"/>
          <w:sz w:val="44"/>
          <w:szCs w:val="44"/>
          <w:lang w:eastAsia="hr-HR"/>
        </w:rPr>
      </w:pPr>
    </w:p>
    <w:p w14:paraId="215D30F2" w14:textId="77777777" w:rsidR="00B8467B" w:rsidRPr="00B8467B" w:rsidRDefault="00B8467B" w:rsidP="00B8467B">
      <w:pPr>
        <w:jc w:val="center"/>
        <w:rPr>
          <w:rFonts w:ascii="Calibri" w:eastAsia="Times New Roman" w:hAnsi="Calibri" w:cs="Calibri"/>
          <w:color w:val="000000"/>
          <w:sz w:val="44"/>
          <w:szCs w:val="44"/>
          <w:lang w:eastAsia="hr-HR"/>
        </w:rPr>
      </w:pPr>
      <w:r w:rsidRPr="00B8467B">
        <w:rPr>
          <w:rFonts w:ascii="Calibri" w:eastAsia="Times New Roman" w:hAnsi="Calibri" w:cs="Calibri"/>
          <w:color w:val="000000"/>
          <w:sz w:val="44"/>
          <w:szCs w:val="44"/>
          <w:lang w:eastAsia="hr-HR"/>
        </w:rPr>
        <w:t>UPUTE ZA IZRADU PRORAČUNA</w:t>
      </w:r>
    </w:p>
    <w:p w14:paraId="0F2B6B84" w14:textId="77777777" w:rsidR="00B8467B" w:rsidRPr="00B8467B" w:rsidRDefault="00B8467B" w:rsidP="00B8467B">
      <w:pPr>
        <w:jc w:val="center"/>
        <w:rPr>
          <w:rFonts w:ascii="Calibri" w:eastAsia="Times New Roman" w:hAnsi="Calibri" w:cs="Calibri"/>
          <w:color w:val="000000"/>
          <w:sz w:val="44"/>
          <w:szCs w:val="44"/>
          <w:lang w:eastAsia="hr-HR"/>
        </w:rPr>
      </w:pPr>
      <w:r w:rsidRPr="00B8467B">
        <w:rPr>
          <w:rFonts w:ascii="Calibri" w:eastAsia="Times New Roman" w:hAnsi="Calibri" w:cs="Calibri"/>
          <w:color w:val="000000"/>
          <w:sz w:val="44"/>
          <w:szCs w:val="44"/>
          <w:lang w:eastAsia="hr-HR"/>
        </w:rPr>
        <w:t>I FINANCIJSKIH PLANOVA</w:t>
      </w:r>
    </w:p>
    <w:p w14:paraId="0FC851E4" w14:textId="77777777" w:rsidR="00B8467B" w:rsidRPr="00B8467B" w:rsidRDefault="00B8467B" w:rsidP="00B8467B">
      <w:pPr>
        <w:jc w:val="center"/>
        <w:rPr>
          <w:rFonts w:ascii="Calibri" w:eastAsia="Times New Roman" w:hAnsi="Calibri" w:cs="Calibri"/>
          <w:color w:val="000000"/>
          <w:sz w:val="44"/>
          <w:szCs w:val="44"/>
          <w:lang w:eastAsia="hr-HR"/>
        </w:rPr>
      </w:pPr>
      <w:r w:rsidRPr="00B8467B">
        <w:rPr>
          <w:rFonts w:ascii="Calibri" w:eastAsia="Times New Roman" w:hAnsi="Calibri" w:cs="Calibri"/>
          <w:color w:val="000000"/>
          <w:sz w:val="44"/>
          <w:szCs w:val="44"/>
          <w:lang w:eastAsia="hr-HR"/>
        </w:rPr>
        <w:t>KORISNIKA OPĆINE NUŠTAR</w:t>
      </w:r>
    </w:p>
    <w:p w14:paraId="12FA4E61" w14:textId="1EE123FA" w:rsidR="00B8467B" w:rsidRPr="00B8467B" w:rsidRDefault="00B8467B" w:rsidP="00B8467B">
      <w:pPr>
        <w:jc w:val="center"/>
        <w:rPr>
          <w:rFonts w:ascii="Calibri" w:eastAsia="Times New Roman" w:hAnsi="Calibri" w:cs="Calibri"/>
          <w:color w:val="000000"/>
          <w:sz w:val="44"/>
          <w:szCs w:val="44"/>
          <w:lang w:eastAsia="hr-HR"/>
        </w:rPr>
      </w:pPr>
      <w:r w:rsidRPr="00B8467B">
        <w:rPr>
          <w:rFonts w:ascii="Calibri" w:eastAsia="Times New Roman" w:hAnsi="Calibri" w:cs="Calibri"/>
          <w:color w:val="000000"/>
          <w:sz w:val="44"/>
          <w:szCs w:val="44"/>
          <w:lang w:eastAsia="hr-HR"/>
        </w:rPr>
        <w:t>ZA RAZDOBLJE 2027. - 2029.</w:t>
      </w:r>
    </w:p>
    <w:p w14:paraId="279D9BB5" w14:textId="3E2DE32B" w:rsidR="00B8467B" w:rsidRPr="00B8467B" w:rsidRDefault="00B8467B" w:rsidP="00B8467B">
      <w:pPr>
        <w:jc w:val="center"/>
        <w:rPr>
          <w:rFonts w:ascii="Calibri" w:eastAsia="Times New Roman" w:hAnsi="Calibri" w:cs="Calibri"/>
          <w:color w:val="000000"/>
          <w:sz w:val="44"/>
          <w:szCs w:val="44"/>
          <w:lang w:eastAsia="hr-HR"/>
        </w:rPr>
      </w:pPr>
      <w:r w:rsidRPr="00B8467B">
        <w:rPr>
          <w:rFonts w:ascii="Calibri" w:eastAsia="Times New Roman" w:hAnsi="Calibri" w:cs="Calibri"/>
          <w:color w:val="000000"/>
          <w:sz w:val="44"/>
          <w:szCs w:val="44"/>
          <w:lang w:eastAsia="hr-HR"/>
        </w:rPr>
        <w:t>I</w:t>
      </w:r>
    </w:p>
    <w:p w14:paraId="646B38A2" w14:textId="0170CF0D" w:rsidR="00B8467B" w:rsidRPr="00B8467B" w:rsidRDefault="00B8467B" w:rsidP="00B8467B">
      <w:pPr>
        <w:jc w:val="center"/>
        <w:rPr>
          <w:rFonts w:ascii="Calibri" w:eastAsia="Times New Roman" w:hAnsi="Calibri" w:cs="Calibri"/>
          <w:color w:val="000000"/>
          <w:sz w:val="44"/>
          <w:szCs w:val="44"/>
          <w:lang w:eastAsia="hr-HR"/>
        </w:rPr>
      </w:pPr>
      <w:r w:rsidRPr="00B8467B">
        <w:rPr>
          <w:rFonts w:ascii="Calibri" w:eastAsia="Times New Roman" w:hAnsi="Calibri" w:cs="Calibri"/>
          <w:color w:val="000000"/>
          <w:sz w:val="44"/>
          <w:szCs w:val="44"/>
          <w:lang w:eastAsia="hr-HR"/>
        </w:rPr>
        <w:t>IZMJENE I DOPUNE</w:t>
      </w:r>
    </w:p>
    <w:p w14:paraId="00687C71" w14:textId="5FC3E4D0" w:rsidR="00B8467B" w:rsidRPr="00B8467B" w:rsidRDefault="00B8467B" w:rsidP="00B8467B">
      <w:pPr>
        <w:jc w:val="center"/>
        <w:rPr>
          <w:rFonts w:ascii="Calibri" w:eastAsia="Times New Roman" w:hAnsi="Calibri" w:cs="Calibri"/>
          <w:color w:val="000000"/>
          <w:sz w:val="44"/>
          <w:szCs w:val="44"/>
          <w:lang w:eastAsia="hr-HR"/>
        </w:rPr>
      </w:pPr>
      <w:r w:rsidRPr="00B8467B">
        <w:rPr>
          <w:rFonts w:ascii="Calibri" w:eastAsia="Times New Roman" w:hAnsi="Calibri" w:cs="Calibri"/>
          <w:color w:val="000000"/>
          <w:sz w:val="44"/>
          <w:szCs w:val="44"/>
          <w:lang w:eastAsia="hr-HR"/>
        </w:rPr>
        <w:t>FINANCIJSKOG PLANA</w:t>
      </w:r>
    </w:p>
    <w:p w14:paraId="437AA982" w14:textId="77777777" w:rsidR="00B8467B" w:rsidRPr="00B8467B" w:rsidRDefault="00B8467B" w:rsidP="00B8467B">
      <w:pPr>
        <w:jc w:val="center"/>
        <w:rPr>
          <w:rFonts w:ascii="Calibri" w:eastAsia="Times New Roman" w:hAnsi="Calibri" w:cs="Calibri"/>
          <w:color w:val="000000"/>
          <w:sz w:val="44"/>
          <w:szCs w:val="44"/>
          <w:lang w:eastAsia="hr-HR"/>
        </w:rPr>
      </w:pPr>
      <w:r w:rsidRPr="00B8467B">
        <w:rPr>
          <w:rFonts w:ascii="Calibri" w:eastAsia="Times New Roman" w:hAnsi="Calibri" w:cs="Calibri"/>
          <w:color w:val="000000"/>
          <w:sz w:val="44"/>
          <w:szCs w:val="44"/>
          <w:lang w:eastAsia="hr-HR"/>
        </w:rPr>
        <w:t>ZA 2026. GODINU</w:t>
      </w:r>
    </w:p>
    <w:p w14:paraId="53C5AB61" w14:textId="77777777" w:rsidR="00B8467B" w:rsidRDefault="00B8467B" w:rsidP="00B8467B">
      <w:pPr>
        <w:jc w:val="center"/>
        <w:rPr>
          <w:rFonts w:ascii="Calibri" w:eastAsia="Times New Roman" w:hAnsi="Calibri" w:cs="Calibri"/>
          <w:color w:val="000000"/>
          <w:lang w:eastAsia="hr-HR"/>
        </w:rPr>
      </w:pPr>
    </w:p>
    <w:p w14:paraId="082B71DB" w14:textId="77777777" w:rsidR="00B8467B" w:rsidRDefault="00B8467B" w:rsidP="00B8467B">
      <w:pPr>
        <w:jc w:val="center"/>
        <w:rPr>
          <w:rFonts w:ascii="Calibri" w:eastAsia="Times New Roman" w:hAnsi="Calibri" w:cs="Calibri"/>
          <w:color w:val="000000"/>
          <w:lang w:eastAsia="hr-HR"/>
        </w:rPr>
      </w:pPr>
    </w:p>
    <w:p w14:paraId="083750F0" w14:textId="77777777" w:rsidR="00B8467B" w:rsidRDefault="00B8467B" w:rsidP="00B8467B">
      <w:pPr>
        <w:jc w:val="center"/>
        <w:rPr>
          <w:rFonts w:ascii="Calibri" w:eastAsia="Times New Roman" w:hAnsi="Calibri" w:cs="Calibri"/>
          <w:color w:val="000000"/>
          <w:lang w:eastAsia="hr-HR"/>
        </w:rPr>
      </w:pPr>
    </w:p>
    <w:p w14:paraId="2C96D410" w14:textId="77777777" w:rsidR="00B8467B" w:rsidRDefault="00B8467B" w:rsidP="00B8467B">
      <w:pPr>
        <w:jc w:val="center"/>
        <w:rPr>
          <w:rFonts w:ascii="Calibri" w:eastAsia="Times New Roman" w:hAnsi="Calibri" w:cs="Calibri"/>
          <w:color w:val="000000"/>
          <w:lang w:eastAsia="hr-HR"/>
        </w:rPr>
      </w:pPr>
    </w:p>
    <w:p w14:paraId="3AC0DD70" w14:textId="77777777" w:rsidR="00B8467B" w:rsidRDefault="00B8467B" w:rsidP="00B8467B">
      <w:pPr>
        <w:jc w:val="center"/>
        <w:rPr>
          <w:rFonts w:ascii="Calibri" w:eastAsia="Times New Roman" w:hAnsi="Calibri" w:cs="Calibri"/>
          <w:color w:val="000000"/>
          <w:lang w:eastAsia="hr-HR"/>
        </w:rPr>
      </w:pPr>
    </w:p>
    <w:p w14:paraId="40C9DFC3" w14:textId="77777777" w:rsidR="00B8467B" w:rsidRDefault="00B8467B" w:rsidP="00B8467B">
      <w:pPr>
        <w:jc w:val="center"/>
        <w:rPr>
          <w:rFonts w:ascii="Calibri" w:eastAsia="Times New Roman" w:hAnsi="Calibri" w:cs="Calibri"/>
          <w:color w:val="000000"/>
          <w:lang w:eastAsia="hr-HR"/>
        </w:rPr>
      </w:pPr>
    </w:p>
    <w:p w14:paraId="7F2ABDCE" w14:textId="77777777" w:rsidR="00B8467B" w:rsidRDefault="00B8467B" w:rsidP="00B8467B">
      <w:pPr>
        <w:jc w:val="center"/>
        <w:rPr>
          <w:rFonts w:ascii="Calibri" w:eastAsia="Times New Roman" w:hAnsi="Calibri" w:cs="Calibri"/>
          <w:color w:val="000000"/>
          <w:lang w:eastAsia="hr-HR"/>
        </w:rPr>
      </w:pPr>
    </w:p>
    <w:p w14:paraId="6563A27C" w14:textId="77777777" w:rsidR="00B8467B" w:rsidRDefault="00B8467B" w:rsidP="00B8467B">
      <w:pPr>
        <w:jc w:val="center"/>
        <w:rPr>
          <w:rFonts w:ascii="Calibri" w:eastAsia="Times New Roman" w:hAnsi="Calibri" w:cs="Calibri"/>
          <w:color w:val="000000"/>
          <w:lang w:eastAsia="hr-HR"/>
        </w:rPr>
      </w:pPr>
    </w:p>
    <w:p w14:paraId="2B4B7567" w14:textId="77777777" w:rsidR="00B8467B" w:rsidRDefault="00B8467B" w:rsidP="00B8467B">
      <w:pPr>
        <w:jc w:val="center"/>
        <w:rPr>
          <w:rFonts w:ascii="Calibri" w:eastAsia="Times New Roman" w:hAnsi="Calibri" w:cs="Calibri"/>
          <w:color w:val="000000"/>
          <w:lang w:eastAsia="hr-HR"/>
        </w:rPr>
      </w:pPr>
    </w:p>
    <w:p w14:paraId="20F0AFE8" w14:textId="77777777" w:rsidR="00B8467B" w:rsidRPr="00B8467B" w:rsidRDefault="00B8467B" w:rsidP="00B8467B">
      <w:pPr>
        <w:jc w:val="center"/>
        <w:rPr>
          <w:rFonts w:ascii="Calibri" w:eastAsia="Times New Roman" w:hAnsi="Calibri" w:cs="Calibri"/>
          <w:color w:val="000000"/>
          <w:lang w:eastAsia="hr-HR"/>
        </w:rPr>
      </w:pPr>
    </w:p>
    <w:p w14:paraId="614C9794" w14:textId="77777777" w:rsidR="00B8467B" w:rsidRPr="00B8467B" w:rsidRDefault="00B8467B" w:rsidP="00B8467B">
      <w:pPr>
        <w:rPr>
          <w:rFonts w:ascii="Calibri" w:eastAsia="Times New Roman" w:hAnsi="Calibri" w:cs="Calibri"/>
          <w:color w:val="000000"/>
          <w:lang w:eastAsia="hr-HR"/>
        </w:rPr>
      </w:pPr>
    </w:p>
    <w:p w14:paraId="526005D2" w14:textId="77777777" w:rsidR="00B8467B" w:rsidRPr="00B8467B" w:rsidRDefault="00B8467B" w:rsidP="00B8467B">
      <w:pPr>
        <w:rPr>
          <w:rFonts w:ascii="Calibri" w:eastAsia="Times New Roman" w:hAnsi="Calibri" w:cs="Calibri"/>
          <w:color w:val="000000"/>
          <w:lang w:eastAsia="hr-HR"/>
        </w:rPr>
      </w:pPr>
    </w:p>
    <w:p w14:paraId="48CC2932" w14:textId="77777777" w:rsidR="00B8467B" w:rsidRPr="00B8467B" w:rsidRDefault="00B8467B" w:rsidP="00B8467B">
      <w:pPr>
        <w:rPr>
          <w:rFonts w:ascii="Calibri" w:eastAsia="Times New Roman" w:hAnsi="Calibri" w:cs="Calibri"/>
          <w:color w:val="000000"/>
          <w:lang w:eastAsia="hr-HR"/>
        </w:rPr>
      </w:pPr>
    </w:p>
    <w:p w14:paraId="5B55502F" w14:textId="77777777" w:rsidR="00B8467B" w:rsidRPr="00B8467B" w:rsidRDefault="00B8467B" w:rsidP="00B8467B">
      <w:pPr>
        <w:rPr>
          <w:rFonts w:ascii="Calibri" w:eastAsia="Times New Roman" w:hAnsi="Calibri" w:cs="Calibri"/>
          <w:color w:val="000000"/>
          <w:lang w:eastAsia="hr-HR"/>
        </w:rPr>
      </w:pPr>
    </w:p>
    <w:p w14:paraId="72F1FFED" w14:textId="77777777" w:rsidR="00B8467B" w:rsidRPr="00B8467B" w:rsidRDefault="00B8467B" w:rsidP="00B8467B">
      <w:pPr>
        <w:rPr>
          <w:rFonts w:ascii="Calibri" w:eastAsia="Times New Roman" w:hAnsi="Calibri" w:cs="Calibri"/>
          <w:color w:val="000000"/>
          <w:lang w:eastAsia="hr-HR"/>
        </w:rPr>
      </w:pPr>
    </w:p>
    <w:p w14:paraId="48F413AB" w14:textId="77777777" w:rsidR="00B8467B" w:rsidRPr="00B8467B" w:rsidRDefault="00B8467B" w:rsidP="00B8467B">
      <w:pPr>
        <w:rPr>
          <w:rFonts w:ascii="Calibri" w:eastAsia="Times New Roman" w:hAnsi="Calibri" w:cs="Calibri"/>
          <w:color w:val="000000"/>
          <w:lang w:eastAsia="hr-HR"/>
        </w:rPr>
      </w:pPr>
    </w:p>
    <w:p w14:paraId="56A3689A" w14:textId="77777777" w:rsidR="00B8467B" w:rsidRPr="00B8467B" w:rsidRDefault="00B8467B" w:rsidP="00B8467B">
      <w:pPr>
        <w:rPr>
          <w:rFonts w:ascii="Calibri" w:eastAsia="Times New Roman" w:hAnsi="Calibri" w:cs="Calibri"/>
          <w:color w:val="000000"/>
          <w:lang w:eastAsia="hr-HR"/>
        </w:rPr>
      </w:pPr>
    </w:p>
    <w:p w14:paraId="55F0C1D9" w14:textId="77777777" w:rsidR="00B8467B" w:rsidRPr="00B8467B" w:rsidRDefault="00B8467B" w:rsidP="00B8467B">
      <w:pPr>
        <w:rPr>
          <w:rFonts w:ascii="Calibri" w:eastAsia="Times New Roman" w:hAnsi="Calibri" w:cs="Calibri"/>
          <w:color w:val="000000"/>
          <w:lang w:eastAsia="hr-HR"/>
        </w:rPr>
      </w:pPr>
    </w:p>
    <w:p w14:paraId="10497CE0" w14:textId="77777777" w:rsidR="00B8467B" w:rsidRPr="00B8467B" w:rsidRDefault="00B8467B" w:rsidP="00B8467B">
      <w:pPr>
        <w:rPr>
          <w:rFonts w:ascii="Calibri" w:eastAsia="Times New Roman" w:hAnsi="Calibri" w:cs="Calibri"/>
          <w:color w:val="000000"/>
          <w:lang w:eastAsia="hr-HR"/>
        </w:rPr>
      </w:pPr>
    </w:p>
    <w:p w14:paraId="6E484516" w14:textId="77777777" w:rsidR="00B8467B" w:rsidRPr="00B8467B" w:rsidRDefault="00B8467B" w:rsidP="00B8467B">
      <w:pPr>
        <w:rPr>
          <w:rFonts w:ascii="Calibri" w:eastAsia="Times New Roman" w:hAnsi="Calibri" w:cs="Calibri"/>
          <w:color w:val="000000"/>
          <w:lang w:eastAsia="hr-HR"/>
        </w:rPr>
      </w:pPr>
    </w:p>
    <w:p w14:paraId="658F412B" w14:textId="77777777" w:rsidR="00B8467B" w:rsidRPr="00B8467B" w:rsidRDefault="00B8467B" w:rsidP="00B8467B">
      <w:pPr>
        <w:rPr>
          <w:rFonts w:ascii="Calibri" w:eastAsia="Times New Roman" w:hAnsi="Calibri" w:cs="Calibri"/>
          <w:color w:val="000000"/>
          <w:lang w:eastAsia="hr-HR"/>
        </w:rPr>
      </w:pPr>
    </w:p>
    <w:p w14:paraId="43C40947" w14:textId="77777777" w:rsidR="00B8467B" w:rsidRPr="00B8467B" w:rsidRDefault="00B8467B" w:rsidP="00B8467B">
      <w:pPr>
        <w:rPr>
          <w:rFonts w:ascii="Calibri" w:eastAsia="Times New Roman" w:hAnsi="Calibri" w:cs="Calibri"/>
          <w:color w:val="000000"/>
          <w:lang w:eastAsia="hr-HR"/>
        </w:rPr>
      </w:pPr>
    </w:p>
    <w:p w14:paraId="17C85BA3" w14:textId="77777777" w:rsidR="00B8467B" w:rsidRPr="00B8467B" w:rsidRDefault="00B8467B" w:rsidP="00B8467B">
      <w:pPr>
        <w:rPr>
          <w:rFonts w:ascii="Calibri" w:eastAsia="Times New Roman" w:hAnsi="Calibri" w:cs="Calibri"/>
          <w:color w:val="000000"/>
          <w:lang w:eastAsia="hr-HR"/>
        </w:rPr>
      </w:pPr>
    </w:p>
    <w:p w14:paraId="7C702EB7" w14:textId="77777777" w:rsidR="00B8467B" w:rsidRPr="00B8467B" w:rsidRDefault="00B8467B" w:rsidP="00B8467B">
      <w:pPr>
        <w:rPr>
          <w:rFonts w:ascii="Calibri" w:eastAsia="Times New Roman" w:hAnsi="Calibri" w:cs="Calibri"/>
          <w:color w:val="000000"/>
          <w:lang w:eastAsia="hr-HR"/>
        </w:rPr>
      </w:pPr>
    </w:p>
    <w:p w14:paraId="76BD0CA7" w14:textId="77777777" w:rsidR="00B8467B" w:rsidRPr="00B8467B" w:rsidRDefault="00B8467B" w:rsidP="00B8467B">
      <w:pPr>
        <w:rPr>
          <w:rFonts w:ascii="Calibri" w:eastAsia="Times New Roman" w:hAnsi="Calibri" w:cs="Calibri"/>
          <w:color w:val="000000"/>
          <w:lang w:eastAsia="hr-HR"/>
        </w:rPr>
      </w:pPr>
    </w:p>
    <w:sdt>
      <w:sdtPr>
        <w:rPr>
          <w:rFonts w:ascii="Calibri" w:eastAsia="Times New Roman" w:hAnsi="Calibri" w:cs="Calibri"/>
          <w:color w:val="000000"/>
          <w:lang w:eastAsia="hr-HR"/>
        </w:rPr>
        <w:id w:val="1466081458"/>
        <w:docPartObj>
          <w:docPartGallery w:val="Table of Contents"/>
          <w:docPartUnique/>
        </w:docPartObj>
      </w:sdtPr>
      <w:sdtEndPr>
        <w:rPr>
          <w:b/>
          <w:bCs/>
        </w:rPr>
      </w:sdtEndPr>
      <w:sdtContent>
        <w:p w14:paraId="4D9B4B58" w14:textId="77777777" w:rsidR="00B8467B" w:rsidRPr="00B8467B" w:rsidRDefault="00B8467B" w:rsidP="00B8467B">
          <w:pPr>
            <w:rPr>
              <w:rFonts w:ascii="Calibri" w:eastAsia="Times New Roman" w:hAnsi="Calibri" w:cs="Calibri"/>
              <w:color w:val="000000"/>
              <w:lang w:val="pt-PT" w:eastAsia="hr-HR"/>
            </w:rPr>
          </w:pPr>
          <w:r w:rsidRPr="00B8467B">
            <w:rPr>
              <w:rFonts w:ascii="Calibri" w:eastAsia="Times New Roman" w:hAnsi="Calibri" w:cs="Calibri"/>
              <w:color w:val="000000"/>
              <w:lang w:eastAsia="hr-HR"/>
            </w:rPr>
            <w:t>Sadržaj</w:t>
          </w:r>
        </w:p>
        <w:p w14:paraId="59A63F5E" w14:textId="77777777" w:rsidR="00B8467B" w:rsidRPr="00B8467B" w:rsidRDefault="00B8467B" w:rsidP="00B8467B">
          <w:pPr>
            <w:rPr>
              <w:rFonts w:ascii="Calibri" w:eastAsia="Times New Roman" w:hAnsi="Calibri" w:cs="Calibri"/>
              <w:color w:val="000000"/>
              <w:lang w:val="en-GB" w:eastAsia="hr-HR"/>
            </w:rPr>
          </w:pPr>
          <w:r w:rsidRPr="00B8467B">
            <w:rPr>
              <w:rFonts w:ascii="Calibri" w:eastAsia="Times New Roman" w:hAnsi="Calibri" w:cs="Calibri"/>
              <w:color w:val="000000"/>
              <w:lang w:val="en-GB" w:eastAsia="hr-HR"/>
            </w:rPr>
            <w:fldChar w:fldCharType="begin"/>
          </w:r>
          <w:r w:rsidRPr="00B8467B">
            <w:rPr>
              <w:rFonts w:ascii="Calibri" w:eastAsia="Times New Roman" w:hAnsi="Calibri" w:cs="Calibri"/>
              <w:color w:val="000000"/>
              <w:lang w:val="en-GB" w:eastAsia="hr-HR"/>
            </w:rPr>
            <w:instrText xml:space="preserve"> TOC \o "1-3" \h \z \u </w:instrText>
          </w:r>
          <w:r w:rsidRPr="00B8467B">
            <w:rPr>
              <w:rFonts w:ascii="Calibri" w:eastAsia="Times New Roman" w:hAnsi="Calibri" w:cs="Calibri"/>
              <w:color w:val="000000"/>
              <w:lang w:val="en-GB" w:eastAsia="hr-HR"/>
            </w:rPr>
            <w:fldChar w:fldCharType="separate"/>
          </w:r>
          <w:hyperlink w:anchor="_Toc206054320" w:history="1">
            <w:r w:rsidRPr="00B8467B">
              <w:rPr>
                <w:rStyle w:val="Hiperveza"/>
                <w:rFonts w:ascii="Calibri" w:eastAsia="Times New Roman" w:hAnsi="Calibri" w:cs="Calibri"/>
                <w:lang w:val="en-GB" w:eastAsia="hr-HR"/>
              </w:rPr>
              <w:t>1. UVOD</w:t>
            </w:r>
            <w:r w:rsidRPr="00B8467B">
              <w:rPr>
                <w:rStyle w:val="Hiperveza"/>
                <w:rFonts w:ascii="Calibri" w:eastAsia="Times New Roman" w:hAnsi="Calibri" w:cs="Calibri"/>
                <w:webHidden/>
                <w:lang w:val="en-GB" w:eastAsia="hr-HR"/>
              </w:rPr>
              <w:tab/>
            </w:r>
            <w:r w:rsidRPr="00B8467B">
              <w:rPr>
                <w:rStyle w:val="Hiperveza"/>
                <w:rFonts w:ascii="Calibri" w:eastAsia="Times New Roman" w:hAnsi="Calibri" w:cs="Calibri"/>
                <w:webHidden/>
                <w:lang w:val="en-GB" w:eastAsia="hr-HR"/>
              </w:rPr>
              <w:fldChar w:fldCharType="begin"/>
            </w:r>
            <w:r w:rsidRPr="00B8467B">
              <w:rPr>
                <w:rStyle w:val="Hiperveza"/>
                <w:rFonts w:ascii="Calibri" w:eastAsia="Times New Roman" w:hAnsi="Calibri" w:cs="Calibri"/>
                <w:webHidden/>
                <w:lang w:val="en-GB" w:eastAsia="hr-HR"/>
              </w:rPr>
              <w:instrText xml:space="preserve"> PAGEREF _Toc206054320 \h </w:instrText>
            </w:r>
            <w:r w:rsidRPr="00B8467B">
              <w:rPr>
                <w:rStyle w:val="Hiperveza"/>
                <w:rFonts w:ascii="Calibri" w:eastAsia="Times New Roman" w:hAnsi="Calibri" w:cs="Calibri"/>
                <w:webHidden/>
                <w:lang w:val="en-GB" w:eastAsia="hr-HR"/>
              </w:rPr>
            </w:r>
            <w:r w:rsidRPr="00B8467B">
              <w:rPr>
                <w:rStyle w:val="Hiperveza"/>
                <w:rFonts w:ascii="Calibri" w:eastAsia="Times New Roman" w:hAnsi="Calibri" w:cs="Calibri"/>
                <w:webHidden/>
                <w:lang w:val="en-GB" w:eastAsia="hr-HR"/>
              </w:rPr>
              <w:fldChar w:fldCharType="separate"/>
            </w:r>
            <w:r w:rsidRPr="00B8467B">
              <w:rPr>
                <w:rStyle w:val="Hiperveza"/>
                <w:rFonts w:ascii="Calibri" w:eastAsia="Times New Roman" w:hAnsi="Calibri" w:cs="Calibri"/>
                <w:webHidden/>
                <w:lang w:val="en-GB" w:eastAsia="hr-HR"/>
              </w:rPr>
              <w:t>3</w:t>
            </w:r>
            <w:r w:rsidRPr="00B8467B">
              <w:rPr>
                <w:rStyle w:val="Hiperveza"/>
                <w:rFonts w:ascii="Calibri" w:eastAsia="Times New Roman" w:hAnsi="Calibri" w:cs="Calibri"/>
                <w:webHidden/>
                <w:lang w:eastAsia="hr-HR"/>
              </w:rPr>
              <w:fldChar w:fldCharType="end"/>
            </w:r>
          </w:hyperlink>
        </w:p>
        <w:p w14:paraId="59D9CF2A" w14:textId="77777777" w:rsidR="00B8467B" w:rsidRPr="00B8467B" w:rsidRDefault="00B8467B" w:rsidP="00B8467B">
          <w:pPr>
            <w:rPr>
              <w:rFonts w:ascii="Calibri" w:eastAsia="Times New Roman" w:hAnsi="Calibri" w:cs="Calibri"/>
              <w:color w:val="000000"/>
              <w:lang w:val="en-GB" w:eastAsia="hr-HR"/>
            </w:rPr>
          </w:pPr>
          <w:hyperlink w:anchor="_Toc206054321" w:history="1">
            <w:r w:rsidRPr="00B8467B">
              <w:rPr>
                <w:rStyle w:val="Hiperveza"/>
                <w:rFonts w:ascii="Calibri" w:eastAsia="Times New Roman" w:hAnsi="Calibri" w:cs="Calibri"/>
                <w:lang w:val="en-GB" w:eastAsia="hr-HR"/>
              </w:rPr>
              <w:t>2. TEMELJNA EKONOMSKA ISHODIŠTA I PRETPOSTAVKE ZA IZRADU PRORAČUNA OPĆINE NUŠTAR</w:t>
            </w:r>
            <w:r w:rsidRPr="00B8467B">
              <w:rPr>
                <w:rStyle w:val="Hiperveza"/>
                <w:rFonts w:ascii="Calibri" w:eastAsia="Times New Roman" w:hAnsi="Calibri" w:cs="Calibri"/>
                <w:webHidden/>
                <w:lang w:val="en-GB" w:eastAsia="hr-HR"/>
              </w:rPr>
              <w:tab/>
            </w:r>
            <w:r w:rsidRPr="00B8467B">
              <w:rPr>
                <w:rStyle w:val="Hiperveza"/>
                <w:rFonts w:ascii="Calibri" w:eastAsia="Times New Roman" w:hAnsi="Calibri" w:cs="Calibri"/>
                <w:webHidden/>
                <w:lang w:val="en-GB" w:eastAsia="hr-HR"/>
              </w:rPr>
              <w:fldChar w:fldCharType="begin"/>
            </w:r>
            <w:r w:rsidRPr="00B8467B">
              <w:rPr>
                <w:rStyle w:val="Hiperveza"/>
                <w:rFonts w:ascii="Calibri" w:eastAsia="Times New Roman" w:hAnsi="Calibri" w:cs="Calibri"/>
                <w:webHidden/>
                <w:lang w:val="en-GB" w:eastAsia="hr-HR"/>
              </w:rPr>
              <w:instrText xml:space="preserve"> PAGEREF _Toc206054321 \h </w:instrText>
            </w:r>
            <w:r w:rsidRPr="00B8467B">
              <w:rPr>
                <w:rStyle w:val="Hiperveza"/>
                <w:rFonts w:ascii="Calibri" w:eastAsia="Times New Roman" w:hAnsi="Calibri" w:cs="Calibri"/>
                <w:webHidden/>
                <w:lang w:val="en-GB" w:eastAsia="hr-HR"/>
              </w:rPr>
            </w:r>
            <w:r w:rsidRPr="00B8467B">
              <w:rPr>
                <w:rStyle w:val="Hiperveza"/>
                <w:rFonts w:ascii="Calibri" w:eastAsia="Times New Roman" w:hAnsi="Calibri" w:cs="Calibri"/>
                <w:webHidden/>
                <w:lang w:val="en-GB" w:eastAsia="hr-HR"/>
              </w:rPr>
              <w:fldChar w:fldCharType="separate"/>
            </w:r>
            <w:r w:rsidRPr="00B8467B">
              <w:rPr>
                <w:rStyle w:val="Hiperveza"/>
                <w:rFonts w:ascii="Calibri" w:eastAsia="Times New Roman" w:hAnsi="Calibri" w:cs="Calibri"/>
                <w:webHidden/>
                <w:lang w:val="en-GB" w:eastAsia="hr-HR"/>
              </w:rPr>
              <w:t>4</w:t>
            </w:r>
            <w:r w:rsidRPr="00B8467B">
              <w:rPr>
                <w:rStyle w:val="Hiperveza"/>
                <w:rFonts w:ascii="Calibri" w:eastAsia="Times New Roman" w:hAnsi="Calibri" w:cs="Calibri"/>
                <w:webHidden/>
                <w:lang w:eastAsia="hr-HR"/>
              </w:rPr>
              <w:fldChar w:fldCharType="end"/>
            </w:r>
          </w:hyperlink>
        </w:p>
        <w:p w14:paraId="13ED6C2E" w14:textId="77777777" w:rsidR="00B8467B" w:rsidRPr="00B8467B" w:rsidRDefault="00B8467B" w:rsidP="00B8467B">
          <w:pPr>
            <w:rPr>
              <w:rFonts w:ascii="Calibri" w:eastAsia="Times New Roman" w:hAnsi="Calibri" w:cs="Calibri"/>
              <w:color w:val="000000"/>
              <w:lang w:val="en-GB" w:eastAsia="hr-HR"/>
            </w:rPr>
          </w:pPr>
          <w:hyperlink w:anchor="_Toc206054322" w:history="1">
            <w:r w:rsidRPr="00B8467B">
              <w:rPr>
                <w:rStyle w:val="Hiperveza"/>
                <w:rFonts w:ascii="Calibri" w:eastAsia="Times New Roman" w:hAnsi="Calibri" w:cs="Calibri"/>
                <w:lang w:val="en-GB" w:eastAsia="hr-HR"/>
              </w:rPr>
              <w:t>3. IZRADA, PREDLAGANJE I DONOŠENJE FINANCIJSKIH PLANOVA PREMA ZAKONU O PRORAČUNU</w:t>
            </w:r>
            <w:r w:rsidRPr="00B8467B">
              <w:rPr>
                <w:rStyle w:val="Hiperveza"/>
                <w:rFonts w:ascii="Calibri" w:eastAsia="Times New Roman" w:hAnsi="Calibri" w:cs="Calibri"/>
                <w:webHidden/>
                <w:lang w:val="en-GB" w:eastAsia="hr-HR"/>
              </w:rPr>
              <w:tab/>
            </w:r>
            <w:r w:rsidRPr="00B8467B">
              <w:rPr>
                <w:rStyle w:val="Hiperveza"/>
                <w:rFonts w:ascii="Calibri" w:eastAsia="Times New Roman" w:hAnsi="Calibri" w:cs="Calibri"/>
                <w:webHidden/>
                <w:lang w:val="en-GB" w:eastAsia="hr-HR"/>
              </w:rPr>
              <w:fldChar w:fldCharType="begin"/>
            </w:r>
            <w:r w:rsidRPr="00B8467B">
              <w:rPr>
                <w:rStyle w:val="Hiperveza"/>
                <w:rFonts w:ascii="Calibri" w:eastAsia="Times New Roman" w:hAnsi="Calibri" w:cs="Calibri"/>
                <w:webHidden/>
                <w:lang w:val="en-GB" w:eastAsia="hr-HR"/>
              </w:rPr>
              <w:instrText xml:space="preserve"> PAGEREF _Toc206054322 \h </w:instrText>
            </w:r>
            <w:r w:rsidRPr="00B8467B">
              <w:rPr>
                <w:rStyle w:val="Hiperveza"/>
                <w:rFonts w:ascii="Calibri" w:eastAsia="Times New Roman" w:hAnsi="Calibri" w:cs="Calibri"/>
                <w:webHidden/>
                <w:lang w:val="en-GB" w:eastAsia="hr-HR"/>
              </w:rPr>
            </w:r>
            <w:r w:rsidRPr="00B8467B">
              <w:rPr>
                <w:rStyle w:val="Hiperveza"/>
                <w:rFonts w:ascii="Calibri" w:eastAsia="Times New Roman" w:hAnsi="Calibri" w:cs="Calibri"/>
                <w:webHidden/>
                <w:lang w:val="en-GB" w:eastAsia="hr-HR"/>
              </w:rPr>
              <w:fldChar w:fldCharType="separate"/>
            </w:r>
            <w:r w:rsidRPr="00B8467B">
              <w:rPr>
                <w:rStyle w:val="Hiperveza"/>
                <w:rFonts w:ascii="Calibri" w:eastAsia="Times New Roman" w:hAnsi="Calibri" w:cs="Calibri"/>
                <w:webHidden/>
                <w:lang w:val="en-GB" w:eastAsia="hr-HR"/>
              </w:rPr>
              <w:t>4</w:t>
            </w:r>
            <w:r w:rsidRPr="00B8467B">
              <w:rPr>
                <w:rStyle w:val="Hiperveza"/>
                <w:rFonts w:ascii="Calibri" w:eastAsia="Times New Roman" w:hAnsi="Calibri" w:cs="Calibri"/>
                <w:webHidden/>
                <w:lang w:eastAsia="hr-HR"/>
              </w:rPr>
              <w:fldChar w:fldCharType="end"/>
            </w:r>
          </w:hyperlink>
        </w:p>
        <w:p w14:paraId="165BE619" w14:textId="77777777" w:rsidR="00B8467B" w:rsidRPr="00B8467B" w:rsidRDefault="00B8467B" w:rsidP="00B8467B">
          <w:pPr>
            <w:rPr>
              <w:rFonts w:ascii="Calibri" w:eastAsia="Times New Roman" w:hAnsi="Calibri" w:cs="Calibri"/>
              <w:color w:val="000000"/>
              <w:lang w:val="en-GB" w:eastAsia="hr-HR"/>
            </w:rPr>
          </w:pPr>
          <w:hyperlink w:anchor="_Toc206054323" w:history="1">
            <w:r w:rsidRPr="00B8467B">
              <w:rPr>
                <w:rStyle w:val="Hiperveza"/>
                <w:rFonts w:ascii="Calibri" w:eastAsia="Times New Roman" w:hAnsi="Calibri" w:cs="Calibri"/>
                <w:lang w:val="en-GB" w:eastAsia="hr-HR"/>
              </w:rPr>
              <w:t>4. OPIS PLANIRANIH POLITIKA OPĆINE NUŠTAR</w:t>
            </w:r>
            <w:r w:rsidRPr="00B8467B">
              <w:rPr>
                <w:rStyle w:val="Hiperveza"/>
                <w:rFonts w:ascii="Calibri" w:eastAsia="Times New Roman" w:hAnsi="Calibri" w:cs="Calibri"/>
                <w:webHidden/>
                <w:lang w:val="en-GB" w:eastAsia="hr-HR"/>
              </w:rPr>
              <w:tab/>
            </w:r>
            <w:r w:rsidRPr="00B8467B">
              <w:rPr>
                <w:rStyle w:val="Hiperveza"/>
                <w:rFonts w:ascii="Calibri" w:eastAsia="Times New Roman" w:hAnsi="Calibri" w:cs="Calibri"/>
                <w:webHidden/>
                <w:lang w:val="en-GB" w:eastAsia="hr-HR"/>
              </w:rPr>
              <w:fldChar w:fldCharType="begin"/>
            </w:r>
            <w:r w:rsidRPr="00B8467B">
              <w:rPr>
                <w:rStyle w:val="Hiperveza"/>
                <w:rFonts w:ascii="Calibri" w:eastAsia="Times New Roman" w:hAnsi="Calibri" w:cs="Calibri"/>
                <w:webHidden/>
                <w:lang w:val="en-GB" w:eastAsia="hr-HR"/>
              </w:rPr>
              <w:instrText xml:space="preserve"> PAGEREF _Toc206054323 \h </w:instrText>
            </w:r>
            <w:r w:rsidRPr="00B8467B">
              <w:rPr>
                <w:rStyle w:val="Hiperveza"/>
                <w:rFonts w:ascii="Calibri" w:eastAsia="Times New Roman" w:hAnsi="Calibri" w:cs="Calibri"/>
                <w:webHidden/>
                <w:lang w:val="en-GB" w:eastAsia="hr-HR"/>
              </w:rPr>
            </w:r>
            <w:r w:rsidRPr="00B8467B">
              <w:rPr>
                <w:rStyle w:val="Hiperveza"/>
                <w:rFonts w:ascii="Calibri" w:eastAsia="Times New Roman" w:hAnsi="Calibri" w:cs="Calibri"/>
                <w:webHidden/>
                <w:lang w:val="en-GB" w:eastAsia="hr-HR"/>
              </w:rPr>
              <w:fldChar w:fldCharType="separate"/>
            </w:r>
            <w:r w:rsidRPr="00B8467B">
              <w:rPr>
                <w:rStyle w:val="Hiperveza"/>
                <w:rFonts w:ascii="Calibri" w:eastAsia="Times New Roman" w:hAnsi="Calibri" w:cs="Calibri"/>
                <w:webHidden/>
                <w:lang w:val="en-GB" w:eastAsia="hr-HR"/>
              </w:rPr>
              <w:t>6</w:t>
            </w:r>
            <w:r w:rsidRPr="00B8467B">
              <w:rPr>
                <w:rStyle w:val="Hiperveza"/>
                <w:rFonts w:ascii="Calibri" w:eastAsia="Times New Roman" w:hAnsi="Calibri" w:cs="Calibri"/>
                <w:webHidden/>
                <w:lang w:eastAsia="hr-HR"/>
              </w:rPr>
              <w:fldChar w:fldCharType="end"/>
            </w:r>
          </w:hyperlink>
        </w:p>
        <w:p w14:paraId="5E970833" w14:textId="77777777" w:rsidR="00B8467B" w:rsidRPr="00B8467B" w:rsidRDefault="00B8467B" w:rsidP="00B8467B">
          <w:pPr>
            <w:rPr>
              <w:rFonts w:ascii="Calibri" w:eastAsia="Times New Roman" w:hAnsi="Calibri" w:cs="Calibri"/>
              <w:color w:val="000000"/>
              <w:lang w:val="en-GB" w:eastAsia="hr-HR"/>
            </w:rPr>
          </w:pPr>
          <w:hyperlink w:anchor="_Toc206054324" w:history="1">
            <w:r w:rsidRPr="00B8467B">
              <w:rPr>
                <w:rStyle w:val="Hiperveza"/>
                <w:rFonts w:ascii="Calibri" w:eastAsia="Times New Roman" w:hAnsi="Calibri" w:cs="Calibri"/>
                <w:lang w:val="en-GB" w:eastAsia="hr-HR"/>
              </w:rPr>
              <w:t>5. PROCJENA PRIHODA I RASHODA, ODNOSNO PRIMITAKA I IZDATAKA PRORAČUNSKIH KORISNIKA OPĆINE NUŠTAR U RAZDOBLJU 2026. – 2028.G</w:t>
            </w:r>
            <w:r w:rsidRPr="00B8467B">
              <w:rPr>
                <w:rStyle w:val="Hiperveza"/>
                <w:rFonts w:ascii="Calibri" w:eastAsia="Times New Roman" w:hAnsi="Calibri" w:cs="Calibri"/>
                <w:webHidden/>
                <w:lang w:val="en-GB" w:eastAsia="hr-HR"/>
              </w:rPr>
              <w:tab/>
            </w:r>
            <w:r w:rsidRPr="00B8467B">
              <w:rPr>
                <w:rStyle w:val="Hiperveza"/>
                <w:rFonts w:ascii="Calibri" w:eastAsia="Times New Roman" w:hAnsi="Calibri" w:cs="Calibri"/>
                <w:webHidden/>
                <w:lang w:val="en-GB" w:eastAsia="hr-HR"/>
              </w:rPr>
              <w:fldChar w:fldCharType="begin"/>
            </w:r>
            <w:r w:rsidRPr="00B8467B">
              <w:rPr>
                <w:rStyle w:val="Hiperveza"/>
                <w:rFonts w:ascii="Calibri" w:eastAsia="Times New Roman" w:hAnsi="Calibri" w:cs="Calibri"/>
                <w:webHidden/>
                <w:lang w:val="en-GB" w:eastAsia="hr-HR"/>
              </w:rPr>
              <w:instrText xml:space="preserve"> PAGEREF _Toc206054324 \h </w:instrText>
            </w:r>
            <w:r w:rsidRPr="00B8467B">
              <w:rPr>
                <w:rStyle w:val="Hiperveza"/>
                <w:rFonts w:ascii="Calibri" w:eastAsia="Times New Roman" w:hAnsi="Calibri" w:cs="Calibri"/>
                <w:webHidden/>
                <w:lang w:val="en-GB" w:eastAsia="hr-HR"/>
              </w:rPr>
            </w:r>
            <w:r w:rsidRPr="00B8467B">
              <w:rPr>
                <w:rStyle w:val="Hiperveza"/>
                <w:rFonts w:ascii="Calibri" w:eastAsia="Times New Roman" w:hAnsi="Calibri" w:cs="Calibri"/>
                <w:webHidden/>
                <w:lang w:val="en-GB" w:eastAsia="hr-HR"/>
              </w:rPr>
              <w:fldChar w:fldCharType="separate"/>
            </w:r>
            <w:r w:rsidRPr="00B8467B">
              <w:rPr>
                <w:rStyle w:val="Hiperveza"/>
                <w:rFonts w:ascii="Calibri" w:eastAsia="Times New Roman" w:hAnsi="Calibri" w:cs="Calibri"/>
                <w:webHidden/>
                <w:lang w:val="en-GB" w:eastAsia="hr-HR"/>
              </w:rPr>
              <w:t>7</w:t>
            </w:r>
            <w:r w:rsidRPr="00B8467B">
              <w:rPr>
                <w:rStyle w:val="Hiperveza"/>
                <w:rFonts w:ascii="Calibri" w:eastAsia="Times New Roman" w:hAnsi="Calibri" w:cs="Calibri"/>
                <w:webHidden/>
                <w:lang w:eastAsia="hr-HR"/>
              </w:rPr>
              <w:fldChar w:fldCharType="end"/>
            </w:r>
          </w:hyperlink>
        </w:p>
        <w:p w14:paraId="6322726E" w14:textId="77777777" w:rsidR="00B8467B" w:rsidRPr="00B8467B" w:rsidRDefault="00B8467B" w:rsidP="00B8467B">
          <w:pPr>
            <w:rPr>
              <w:rFonts w:ascii="Calibri" w:eastAsia="Times New Roman" w:hAnsi="Calibri" w:cs="Calibri"/>
              <w:color w:val="000000"/>
              <w:lang w:val="en-GB" w:eastAsia="hr-HR"/>
            </w:rPr>
          </w:pPr>
          <w:hyperlink w:anchor="_Toc206054325" w:history="1">
            <w:r w:rsidRPr="00B8467B">
              <w:rPr>
                <w:rStyle w:val="Hiperveza"/>
                <w:rFonts w:ascii="Calibri" w:eastAsia="Times New Roman" w:hAnsi="Calibri" w:cs="Calibri"/>
                <w:lang w:val="en-GB" w:eastAsia="hr-HR"/>
              </w:rPr>
              <w:t>6. METODOLOGIJA IZRADE PRIJEDLOGA FINANCIJSKOG PLANA PRORAČUNSKIH KORISNIKA OPĆINE NUŠTAR</w:t>
            </w:r>
            <w:r w:rsidRPr="00B8467B">
              <w:rPr>
                <w:rStyle w:val="Hiperveza"/>
                <w:rFonts w:ascii="Calibri" w:eastAsia="Times New Roman" w:hAnsi="Calibri" w:cs="Calibri"/>
                <w:webHidden/>
                <w:lang w:val="en-GB" w:eastAsia="hr-HR"/>
              </w:rPr>
              <w:tab/>
            </w:r>
            <w:r w:rsidRPr="00B8467B">
              <w:rPr>
                <w:rStyle w:val="Hiperveza"/>
                <w:rFonts w:ascii="Calibri" w:eastAsia="Times New Roman" w:hAnsi="Calibri" w:cs="Calibri"/>
                <w:webHidden/>
                <w:lang w:val="en-GB" w:eastAsia="hr-HR"/>
              </w:rPr>
              <w:fldChar w:fldCharType="begin"/>
            </w:r>
            <w:r w:rsidRPr="00B8467B">
              <w:rPr>
                <w:rStyle w:val="Hiperveza"/>
                <w:rFonts w:ascii="Calibri" w:eastAsia="Times New Roman" w:hAnsi="Calibri" w:cs="Calibri"/>
                <w:webHidden/>
                <w:lang w:val="en-GB" w:eastAsia="hr-HR"/>
              </w:rPr>
              <w:instrText xml:space="preserve"> PAGEREF _Toc206054325 \h </w:instrText>
            </w:r>
            <w:r w:rsidRPr="00B8467B">
              <w:rPr>
                <w:rStyle w:val="Hiperveza"/>
                <w:rFonts w:ascii="Calibri" w:eastAsia="Times New Roman" w:hAnsi="Calibri" w:cs="Calibri"/>
                <w:webHidden/>
                <w:lang w:val="en-GB" w:eastAsia="hr-HR"/>
              </w:rPr>
            </w:r>
            <w:r w:rsidRPr="00B8467B">
              <w:rPr>
                <w:rStyle w:val="Hiperveza"/>
                <w:rFonts w:ascii="Calibri" w:eastAsia="Times New Roman" w:hAnsi="Calibri" w:cs="Calibri"/>
                <w:webHidden/>
                <w:lang w:val="en-GB" w:eastAsia="hr-HR"/>
              </w:rPr>
              <w:fldChar w:fldCharType="separate"/>
            </w:r>
            <w:r w:rsidRPr="00B8467B">
              <w:rPr>
                <w:rStyle w:val="Hiperveza"/>
                <w:rFonts w:ascii="Calibri" w:eastAsia="Times New Roman" w:hAnsi="Calibri" w:cs="Calibri"/>
                <w:webHidden/>
                <w:lang w:val="en-GB" w:eastAsia="hr-HR"/>
              </w:rPr>
              <w:t>7</w:t>
            </w:r>
            <w:r w:rsidRPr="00B8467B">
              <w:rPr>
                <w:rStyle w:val="Hiperveza"/>
                <w:rFonts w:ascii="Calibri" w:eastAsia="Times New Roman" w:hAnsi="Calibri" w:cs="Calibri"/>
                <w:webHidden/>
                <w:lang w:eastAsia="hr-HR"/>
              </w:rPr>
              <w:fldChar w:fldCharType="end"/>
            </w:r>
          </w:hyperlink>
        </w:p>
        <w:p w14:paraId="3B8CC100" w14:textId="77777777" w:rsidR="00B8467B" w:rsidRPr="00B8467B" w:rsidRDefault="00B8467B" w:rsidP="00B8467B">
          <w:pPr>
            <w:rPr>
              <w:rFonts w:ascii="Calibri" w:eastAsia="Times New Roman" w:hAnsi="Calibri" w:cs="Calibri"/>
              <w:color w:val="000000"/>
              <w:lang w:val="en-GB" w:eastAsia="hr-HR"/>
            </w:rPr>
          </w:pPr>
          <w:hyperlink w:anchor="_Toc206054326" w:history="1">
            <w:r w:rsidRPr="00B8467B">
              <w:rPr>
                <w:rStyle w:val="Hiperveza"/>
                <w:rFonts w:ascii="Calibri" w:eastAsia="Times New Roman" w:hAnsi="Calibri" w:cs="Calibri"/>
                <w:lang w:eastAsia="hr-HR"/>
              </w:rPr>
              <w:t>6.1. Namjenski i vlastiti prihodi proračunskih korisnika</w:t>
            </w:r>
            <w:r w:rsidRPr="00B8467B">
              <w:rPr>
                <w:rStyle w:val="Hiperveza"/>
                <w:rFonts w:ascii="Calibri" w:eastAsia="Times New Roman" w:hAnsi="Calibri" w:cs="Calibri"/>
                <w:webHidden/>
                <w:lang w:eastAsia="hr-HR"/>
              </w:rPr>
              <w:tab/>
            </w:r>
            <w:r w:rsidRPr="00B8467B">
              <w:rPr>
                <w:rStyle w:val="Hiperveza"/>
                <w:rFonts w:ascii="Calibri" w:eastAsia="Times New Roman" w:hAnsi="Calibri" w:cs="Calibri"/>
                <w:webHidden/>
                <w:lang w:eastAsia="hr-HR"/>
              </w:rPr>
              <w:fldChar w:fldCharType="begin"/>
            </w:r>
            <w:r w:rsidRPr="00B8467B">
              <w:rPr>
                <w:rStyle w:val="Hiperveza"/>
                <w:rFonts w:ascii="Calibri" w:eastAsia="Times New Roman" w:hAnsi="Calibri" w:cs="Calibri"/>
                <w:webHidden/>
                <w:lang w:eastAsia="hr-HR"/>
              </w:rPr>
              <w:instrText xml:space="preserve"> PAGEREF _Toc206054326 \h </w:instrText>
            </w:r>
            <w:r w:rsidRPr="00B8467B">
              <w:rPr>
                <w:rStyle w:val="Hiperveza"/>
                <w:rFonts w:ascii="Calibri" w:eastAsia="Times New Roman" w:hAnsi="Calibri" w:cs="Calibri"/>
                <w:webHidden/>
                <w:lang w:eastAsia="hr-HR"/>
              </w:rPr>
            </w:r>
            <w:r w:rsidRPr="00B8467B">
              <w:rPr>
                <w:rStyle w:val="Hiperveza"/>
                <w:rFonts w:ascii="Calibri" w:eastAsia="Times New Roman" w:hAnsi="Calibri" w:cs="Calibri"/>
                <w:webHidden/>
                <w:lang w:eastAsia="hr-HR"/>
              </w:rPr>
              <w:fldChar w:fldCharType="separate"/>
            </w:r>
            <w:r w:rsidRPr="00B8467B">
              <w:rPr>
                <w:rStyle w:val="Hiperveza"/>
                <w:rFonts w:ascii="Calibri" w:eastAsia="Times New Roman" w:hAnsi="Calibri" w:cs="Calibri"/>
                <w:webHidden/>
                <w:lang w:eastAsia="hr-HR"/>
              </w:rPr>
              <w:t>7</w:t>
            </w:r>
            <w:r w:rsidRPr="00B8467B">
              <w:rPr>
                <w:rStyle w:val="Hiperveza"/>
                <w:rFonts w:ascii="Calibri" w:eastAsia="Times New Roman" w:hAnsi="Calibri" w:cs="Calibri"/>
                <w:webHidden/>
                <w:lang w:eastAsia="hr-HR"/>
              </w:rPr>
              <w:fldChar w:fldCharType="end"/>
            </w:r>
          </w:hyperlink>
        </w:p>
        <w:p w14:paraId="21D4EB14" w14:textId="77777777" w:rsidR="00B8467B" w:rsidRPr="00B8467B" w:rsidRDefault="00B8467B" w:rsidP="00B8467B">
          <w:pPr>
            <w:rPr>
              <w:rFonts w:ascii="Calibri" w:eastAsia="Times New Roman" w:hAnsi="Calibri" w:cs="Calibri"/>
              <w:color w:val="000000"/>
              <w:lang w:val="en-GB" w:eastAsia="hr-HR"/>
            </w:rPr>
          </w:pPr>
          <w:hyperlink w:anchor="_Toc206054327" w:history="1">
            <w:r w:rsidRPr="00B8467B">
              <w:rPr>
                <w:rStyle w:val="Hiperveza"/>
                <w:rFonts w:ascii="Calibri" w:eastAsia="Times New Roman" w:hAnsi="Calibri" w:cs="Calibri"/>
                <w:lang w:eastAsia="hr-HR"/>
              </w:rPr>
              <w:t>6.2. Primjena proračunskih klasifikacija</w:t>
            </w:r>
            <w:r w:rsidRPr="00B8467B">
              <w:rPr>
                <w:rStyle w:val="Hiperveza"/>
                <w:rFonts w:ascii="Calibri" w:eastAsia="Times New Roman" w:hAnsi="Calibri" w:cs="Calibri"/>
                <w:webHidden/>
                <w:lang w:eastAsia="hr-HR"/>
              </w:rPr>
              <w:tab/>
            </w:r>
            <w:r w:rsidRPr="00B8467B">
              <w:rPr>
                <w:rStyle w:val="Hiperveza"/>
                <w:rFonts w:ascii="Calibri" w:eastAsia="Times New Roman" w:hAnsi="Calibri" w:cs="Calibri"/>
                <w:webHidden/>
                <w:lang w:eastAsia="hr-HR"/>
              </w:rPr>
              <w:fldChar w:fldCharType="begin"/>
            </w:r>
            <w:r w:rsidRPr="00B8467B">
              <w:rPr>
                <w:rStyle w:val="Hiperveza"/>
                <w:rFonts w:ascii="Calibri" w:eastAsia="Times New Roman" w:hAnsi="Calibri" w:cs="Calibri"/>
                <w:webHidden/>
                <w:lang w:eastAsia="hr-HR"/>
              </w:rPr>
              <w:instrText xml:space="preserve"> PAGEREF _Toc206054327 \h </w:instrText>
            </w:r>
            <w:r w:rsidRPr="00B8467B">
              <w:rPr>
                <w:rStyle w:val="Hiperveza"/>
                <w:rFonts w:ascii="Calibri" w:eastAsia="Times New Roman" w:hAnsi="Calibri" w:cs="Calibri"/>
                <w:webHidden/>
                <w:lang w:eastAsia="hr-HR"/>
              </w:rPr>
            </w:r>
            <w:r w:rsidRPr="00B8467B">
              <w:rPr>
                <w:rStyle w:val="Hiperveza"/>
                <w:rFonts w:ascii="Calibri" w:eastAsia="Times New Roman" w:hAnsi="Calibri" w:cs="Calibri"/>
                <w:webHidden/>
                <w:lang w:eastAsia="hr-HR"/>
              </w:rPr>
              <w:fldChar w:fldCharType="separate"/>
            </w:r>
            <w:r w:rsidRPr="00B8467B">
              <w:rPr>
                <w:rStyle w:val="Hiperveza"/>
                <w:rFonts w:ascii="Calibri" w:eastAsia="Times New Roman" w:hAnsi="Calibri" w:cs="Calibri"/>
                <w:webHidden/>
                <w:lang w:eastAsia="hr-HR"/>
              </w:rPr>
              <w:t>7</w:t>
            </w:r>
            <w:r w:rsidRPr="00B8467B">
              <w:rPr>
                <w:rStyle w:val="Hiperveza"/>
                <w:rFonts w:ascii="Calibri" w:eastAsia="Times New Roman" w:hAnsi="Calibri" w:cs="Calibri"/>
                <w:webHidden/>
                <w:lang w:eastAsia="hr-HR"/>
              </w:rPr>
              <w:fldChar w:fldCharType="end"/>
            </w:r>
          </w:hyperlink>
        </w:p>
        <w:p w14:paraId="004B1C16" w14:textId="77777777" w:rsidR="00B8467B" w:rsidRPr="00B8467B" w:rsidRDefault="00B8467B" w:rsidP="00B8467B">
          <w:pPr>
            <w:rPr>
              <w:rFonts w:ascii="Calibri" w:eastAsia="Times New Roman" w:hAnsi="Calibri" w:cs="Calibri"/>
              <w:color w:val="000000"/>
              <w:lang w:val="en-GB" w:eastAsia="hr-HR"/>
            </w:rPr>
          </w:pPr>
          <w:hyperlink w:anchor="_Toc206054328" w:history="1">
            <w:r w:rsidRPr="00B8467B">
              <w:rPr>
                <w:rStyle w:val="Hiperveza"/>
                <w:rFonts w:ascii="Calibri" w:eastAsia="Times New Roman" w:hAnsi="Calibri" w:cs="Calibri"/>
                <w:lang w:eastAsia="hr-HR"/>
              </w:rPr>
              <w:t>6.3. Uključivanje viška / manjka iz prethodnih godina u financijski plan</w:t>
            </w:r>
            <w:r w:rsidRPr="00B8467B">
              <w:rPr>
                <w:rStyle w:val="Hiperveza"/>
                <w:rFonts w:ascii="Calibri" w:eastAsia="Times New Roman" w:hAnsi="Calibri" w:cs="Calibri"/>
                <w:webHidden/>
                <w:lang w:eastAsia="hr-HR"/>
              </w:rPr>
              <w:tab/>
            </w:r>
            <w:r w:rsidRPr="00B8467B">
              <w:rPr>
                <w:rStyle w:val="Hiperveza"/>
                <w:rFonts w:ascii="Calibri" w:eastAsia="Times New Roman" w:hAnsi="Calibri" w:cs="Calibri"/>
                <w:webHidden/>
                <w:lang w:eastAsia="hr-HR"/>
              </w:rPr>
              <w:fldChar w:fldCharType="begin"/>
            </w:r>
            <w:r w:rsidRPr="00B8467B">
              <w:rPr>
                <w:rStyle w:val="Hiperveza"/>
                <w:rFonts w:ascii="Calibri" w:eastAsia="Times New Roman" w:hAnsi="Calibri" w:cs="Calibri"/>
                <w:webHidden/>
                <w:lang w:eastAsia="hr-HR"/>
              </w:rPr>
              <w:instrText xml:space="preserve"> PAGEREF _Toc206054328 \h </w:instrText>
            </w:r>
            <w:r w:rsidRPr="00B8467B">
              <w:rPr>
                <w:rStyle w:val="Hiperveza"/>
                <w:rFonts w:ascii="Calibri" w:eastAsia="Times New Roman" w:hAnsi="Calibri" w:cs="Calibri"/>
                <w:webHidden/>
                <w:lang w:eastAsia="hr-HR"/>
              </w:rPr>
            </w:r>
            <w:r w:rsidRPr="00B8467B">
              <w:rPr>
                <w:rStyle w:val="Hiperveza"/>
                <w:rFonts w:ascii="Calibri" w:eastAsia="Times New Roman" w:hAnsi="Calibri" w:cs="Calibri"/>
                <w:webHidden/>
                <w:lang w:eastAsia="hr-HR"/>
              </w:rPr>
              <w:fldChar w:fldCharType="separate"/>
            </w:r>
            <w:r w:rsidRPr="00B8467B">
              <w:rPr>
                <w:rStyle w:val="Hiperveza"/>
                <w:rFonts w:ascii="Calibri" w:eastAsia="Times New Roman" w:hAnsi="Calibri" w:cs="Calibri"/>
                <w:webHidden/>
                <w:lang w:eastAsia="hr-HR"/>
              </w:rPr>
              <w:t>8</w:t>
            </w:r>
            <w:r w:rsidRPr="00B8467B">
              <w:rPr>
                <w:rStyle w:val="Hiperveza"/>
                <w:rFonts w:ascii="Calibri" w:eastAsia="Times New Roman" w:hAnsi="Calibri" w:cs="Calibri"/>
                <w:webHidden/>
                <w:lang w:eastAsia="hr-HR"/>
              </w:rPr>
              <w:fldChar w:fldCharType="end"/>
            </w:r>
          </w:hyperlink>
        </w:p>
        <w:p w14:paraId="5C8125D9" w14:textId="77777777" w:rsidR="00B8467B" w:rsidRPr="00B8467B" w:rsidRDefault="00B8467B" w:rsidP="00B8467B">
          <w:pPr>
            <w:rPr>
              <w:rFonts w:ascii="Calibri" w:eastAsia="Times New Roman" w:hAnsi="Calibri" w:cs="Calibri"/>
              <w:color w:val="000000"/>
              <w:lang w:val="en-GB" w:eastAsia="hr-HR"/>
            </w:rPr>
          </w:pPr>
          <w:hyperlink w:anchor="_Toc206054329" w:history="1">
            <w:r w:rsidRPr="00B8467B">
              <w:rPr>
                <w:rStyle w:val="Hiperveza"/>
                <w:rFonts w:ascii="Calibri" w:eastAsia="Times New Roman" w:hAnsi="Calibri" w:cs="Calibri"/>
                <w:lang w:eastAsia="hr-HR"/>
              </w:rPr>
              <w:t>6.4 Sadržaj financijskog plana proračunskog korisnika</w:t>
            </w:r>
            <w:r w:rsidRPr="00B8467B">
              <w:rPr>
                <w:rStyle w:val="Hiperveza"/>
                <w:rFonts w:ascii="Calibri" w:eastAsia="Times New Roman" w:hAnsi="Calibri" w:cs="Calibri"/>
                <w:webHidden/>
                <w:lang w:eastAsia="hr-HR"/>
              </w:rPr>
              <w:tab/>
            </w:r>
            <w:r w:rsidRPr="00B8467B">
              <w:rPr>
                <w:rStyle w:val="Hiperveza"/>
                <w:rFonts w:ascii="Calibri" w:eastAsia="Times New Roman" w:hAnsi="Calibri" w:cs="Calibri"/>
                <w:webHidden/>
                <w:lang w:eastAsia="hr-HR"/>
              </w:rPr>
              <w:fldChar w:fldCharType="begin"/>
            </w:r>
            <w:r w:rsidRPr="00B8467B">
              <w:rPr>
                <w:rStyle w:val="Hiperveza"/>
                <w:rFonts w:ascii="Calibri" w:eastAsia="Times New Roman" w:hAnsi="Calibri" w:cs="Calibri"/>
                <w:webHidden/>
                <w:lang w:eastAsia="hr-HR"/>
              </w:rPr>
              <w:instrText xml:space="preserve"> PAGEREF _Toc206054329 \h </w:instrText>
            </w:r>
            <w:r w:rsidRPr="00B8467B">
              <w:rPr>
                <w:rStyle w:val="Hiperveza"/>
                <w:rFonts w:ascii="Calibri" w:eastAsia="Times New Roman" w:hAnsi="Calibri" w:cs="Calibri"/>
                <w:webHidden/>
                <w:lang w:eastAsia="hr-HR"/>
              </w:rPr>
            </w:r>
            <w:r w:rsidRPr="00B8467B">
              <w:rPr>
                <w:rStyle w:val="Hiperveza"/>
                <w:rFonts w:ascii="Calibri" w:eastAsia="Times New Roman" w:hAnsi="Calibri" w:cs="Calibri"/>
                <w:webHidden/>
                <w:lang w:eastAsia="hr-HR"/>
              </w:rPr>
              <w:fldChar w:fldCharType="separate"/>
            </w:r>
            <w:r w:rsidRPr="00B8467B">
              <w:rPr>
                <w:rStyle w:val="Hiperveza"/>
                <w:rFonts w:ascii="Calibri" w:eastAsia="Times New Roman" w:hAnsi="Calibri" w:cs="Calibri"/>
                <w:webHidden/>
                <w:lang w:eastAsia="hr-HR"/>
              </w:rPr>
              <w:t>8</w:t>
            </w:r>
            <w:r w:rsidRPr="00B8467B">
              <w:rPr>
                <w:rStyle w:val="Hiperveza"/>
                <w:rFonts w:ascii="Calibri" w:eastAsia="Times New Roman" w:hAnsi="Calibri" w:cs="Calibri"/>
                <w:webHidden/>
                <w:lang w:eastAsia="hr-HR"/>
              </w:rPr>
              <w:fldChar w:fldCharType="end"/>
            </w:r>
          </w:hyperlink>
        </w:p>
        <w:p w14:paraId="6195D5F7" w14:textId="77777777" w:rsidR="00B8467B" w:rsidRPr="00B8467B" w:rsidRDefault="00B8467B" w:rsidP="00B8467B">
          <w:pPr>
            <w:rPr>
              <w:rFonts w:ascii="Calibri" w:eastAsia="Times New Roman" w:hAnsi="Calibri" w:cs="Calibri"/>
              <w:color w:val="000000"/>
              <w:lang w:val="en-GB" w:eastAsia="hr-HR"/>
            </w:rPr>
          </w:pPr>
          <w:hyperlink w:anchor="_Toc206054330" w:history="1">
            <w:r w:rsidRPr="00B8467B">
              <w:rPr>
                <w:rStyle w:val="Hiperveza"/>
                <w:rFonts w:ascii="Calibri" w:eastAsia="Times New Roman" w:hAnsi="Calibri" w:cs="Calibri"/>
                <w:lang w:eastAsia="hr-HR"/>
              </w:rPr>
              <w:t>6.5. Predlaganje i donošenje financijskog plana</w:t>
            </w:r>
            <w:r w:rsidRPr="00B8467B">
              <w:rPr>
                <w:rStyle w:val="Hiperveza"/>
                <w:rFonts w:ascii="Calibri" w:eastAsia="Times New Roman" w:hAnsi="Calibri" w:cs="Calibri"/>
                <w:webHidden/>
                <w:lang w:eastAsia="hr-HR"/>
              </w:rPr>
              <w:tab/>
            </w:r>
            <w:r w:rsidRPr="00B8467B">
              <w:rPr>
                <w:rStyle w:val="Hiperveza"/>
                <w:rFonts w:ascii="Calibri" w:eastAsia="Times New Roman" w:hAnsi="Calibri" w:cs="Calibri"/>
                <w:webHidden/>
                <w:lang w:eastAsia="hr-HR"/>
              </w:rPr>
              <w:fldChar w:fldCharType="begin"/>
            </w:r>
            <w:r w:rsidRPr="00B8467B">
              <w:rPr>
                <w:rStyle w:val="Hiperveza"/>
                <w:rFonts w:ascii="Calibri" w:eastAsia="Times New Roman" w:hAnsi="Calibri" w:cs="Calibri"/>
                <w:webHidden/>
                <w:lang w:eastAsia="hr-HR"/>
              </w:rPr>
              <w:instrText xml:space="preserve"> PAGEREF _Toc206054330 \h </w:instrText>
            </w:r>
            <w:r w:rsidRPr="00B8467B">
              <w:rPr>
                <w:rStyle w:val="Hiperveza"/>
                <w:rFonts w:ascii="Calibri" w:eastAsia="Times New Roman" w:hAnsi="Calibri" w:cs="Calibri"/>
                <w:webHidden/>
                <w:lang w:eastAsia="hr-HR"/>
              </w:rPr>
            </w:r>
            <w:r w:rsidRPr="00B8467B">
              <w:rPr>
                <w:rStyle w:val="Hiperveza"/>
                <w:rFonts w:ascii="Calibri" w:eastAsia="Times New Roman" w:hAnsi="Calibri" w:cs="Calibri"/>
                <w:webHidden/>
                <w:lang w:eastAsia="hr-HR"/>
              </w:rPr>
              <w:fldChar w:fldCharType="separate"/>
            </w:r>
            <w:r w:rsidRPr="00B8467B">
              <w:rPr>
                <w:rStyle w:val="Hiperveza"/>
                <w:rFonts w:ascii="Calibri" w:eastAsia="Times New Roman" w:hAnsi="Calibri" w:cs="Calibri"/>
                <w:webHidden/>
                <w:lang w:eastAsia="hr-HR"/>
              </w:rPr>
              <w:t>9</w:t>
            </w:r>
            <w:r w:rsidRPr="00B8467B">
              <w:rPr>
                <w:rStyle w:val="Hiperveza"/>
                <w:rFonts w:ascii="Calibri" w:eastAsia="Times New Roman" w:hAnsi="Calibri" w:cs="Calibri"/>
                <w:webHidden/>
                <w:lang w:eastAsia="hr-HR"/>
              </w:rPr>
              <w:fldChar w:fldCharType="end"/>
            </w:r>
          </w:hyperlink>
        </w:p>
        <w:p w14:paraId="4C3E4EAE" w14:textId="77777777" w:rsidR="00B8467B" w:rsidRPr="00B8467B" w:rsidRDefault="00B8467B" w:rsidP="00B8467B">
          <w:pPr>
            <w:rPr>
              <w:rFonts w:ascii="Calibri" w:eastAsia="Times New Roman" w:hAnsi="Calibri" w:cs="Calibri"/>
              <w:color w:val="000000"/>
              <w:lang w:val="en-GB" w:eastAsia="hr-HR"/>
            </w:rPr>
          </w:pPr>
          <w:hyperlink w:anchor="_Toc206054331" w:history="1">
            <w:r w:rsidRPr="00B8467B">
              <w:rPr>
                <w:rStyle w:val="Hiperveza"/>
                <w:rFonts w:ascii="Calibri" w:eastAsia="Times New Roman" w:hAnsi="Calibri" w:cs="Calibri"/>
                <w:lang w:eastAsia="hr-HR"/>
              </w:rPr>
              <w:t>6.6. Izmjene i dopune proračuna i preraspodjele u 2026. godini</w:t>
            </w:r>
            <w:r w:rsidRPr="00B8467B">
              <w:rPr>
                <w:rStyle w:val="Hiperveza"/>
                <w:rFonts w:ascii="Calibri" w:eastAsia="Times New Roman" w:hAnsi="Calibri" w:cs="Calibri"/>
                <w:webHidden/>
                <w:lang w:eastAsia="hr-HR"/>
              </w:rPr>
              <w:tab/>
            </w:r>
            <w:r w:rsidRPr="00B8467B">
              <w:rPr>
                <w:rStyle w:val="Hiperveza"/>
                <w:rFonts w:ascii="Calibri" w:eastAsia="Times New Roman" w:hAnsi="Calibri" w:cs="Calibri"/>
                <w:webHidden/>
                <w:lang w:eastAsia="hr-HR"/>
              </w:rPr>
              <w:fldChar w:fldCharType="begin"/>
            </w:r>
            <w:r w:rsidRPr="00B8467B">
              <w:rPr>
                <w:rStyle w:val="Hiperveza"/>
                <w:rFonts w:ascii="Calibri" w:eastAsia="Times New Roman" w:hAnsi="Calibri" w:cs="Calibri"/>
                <w:webHidden/>
                <w:lang w:eastAsia="hr-HR"/>
              </w:rPr>
              <w:instrText xml:space="preserve"> PAGEREF _Toc206054331 \h </w:instrText>
            </w:r>
            <w:r w:rsidRPr="00B8467B">
              <w:rPr>
                <w:rStyle w:val="Hiperveza"/>
                <w:rFonts w:ascii="Calibri" w:eastAsia="Times New Roman" w:hAnsi="Calibri" w:cs="Calibri"/>
                <w:webHidden/>
                <w:lang w:eastAsia="hr-HR"/>
              </w:rPr>
            </w:r>
            <w:r w:rsidRPr="00B8467B">
              <w:rPr>
                <w:rStyle w:val="Hiperveza"/>
                <w:rFonts w:ascii="Calibri" w:eastAsia="Times New Roman" w:hAnsi="Calibri" w:cs="Calibri"/>
                <w:webHidden/>
                <w:lang w:eastAsia="hr-HR"/>
              </w:rPr>
              <w:fldChar w:fldCharType="separate"/>
            </w:r>
            <w:r w:rsidRPr="00B8467B">
              <w:rPr>
                <w:rStyle w:val="Hiperveza"/>
                <w:rFonts w:ascii="Calibri" w:eastAsia="Times New Roman" w:hAnsi="Calibri" w:cs="Calibri"/>
                <w:webHidden/>
                <w:lang w:eastAsia="hr-HR"/>
              </w:rPr>
              <w:t>9</w:t>
            </w:r>
            <w:r w:rsidRPr="00B8467B">
              <w:rPr>
                <w:rStyle w:val="Hiperveza"/>
                <w:rFonts w:ascii="Calibri" w:eastAsia="Times New Roman" w:hAnsi="Calibri" w:cs="Calibri"/>
                <w:webHidden/>
                <w:lang w:eastAsia="hr-HR"/>
              </w:rPr>
              <w:fldChar w:fldCharType="end"/>
            </w:r>
          </w:hyperlink>
        </w:p>
        <w:p w14:paraId="0D5D3CE9" w14:textId="77777777" w:rsidR="00B8467B" w:rsidRPr="00B8467B" w:rsidRDefault="00B8467B" w:rsidP="00B8467B">
          <w:pPr>
            <w:rPr>
              <w:rFonts w:ascii="Calibri" w:eastAsia="Times New Roman" w:hAnsi="Calibri" w:cs="Calibri"/>
              <w:color w:val="000000"/>
              <w:lang w:val="en-GB" w:eastAsia="hr-HR"/>
            </w:rPr>
          </w:pPr>
          <w:hyperlink w:anchor="_Toc206054332" w:history="1">
            <w:r w:rsidRPr="00B8467B">
              <w:rPr>
                <w:rStyle w:val="Hiperveza"/>
                <w:rFonts w:ascii="Calibri" w:eastAsia="Times New Roman" w:hAnsi="Calibri" w:cs="Calibri"/>
                <w:lang w:eastAsia="hr-HR"/>
              </w:rPr>
              <w:t>6.7. Visina financijskog plana proračunskog korisnika</w:t>
            </w:r>
            <w:r w:rsidRPr="00B8467B">
              <w:rPr>
                <w:rStyle w:val="Hiperveza"/>
                <w:rFonts w:ascii="Calibri" w:eastAsia="Times New Roman" w:hAnsi="Calibri" w:cs="Calibri"/>
                <w:webHidden/>
                <w:lang w:eastAsia="hr-HR"/>
              </w:rPr>
              <w:tab/>
            </w:r>
            <w:r w:rsidRPr="00B8467B">
              <w:rPr>
                <w:rStyle w:val="Hiperveza"/>
                <w:rFonts w:ascii="Calibri" w:eastAsia="Times New Roman" w:hAnsi="Calibri" w:cs="Calibri"/>
                <w:webHidden/>
                <w:lang w:eastAsia="hr-HR"/>
              </w:rPr>
              <w:fldChar w:fldCharType="begin"/>
            </w:r>
            <w:r w:rsidRPr="00B8467B">
              <w:rPr>
                <w:rStyle w:val="Hiperveza"/>
                <w:rFonts w:ascii="Calibri" w:eastAsia="Times New Roman" w:hAnsi="Calibri" w:cs="Calibri"/>
                <w:webHidden/>
                <w:lang w:eastAsia="hr-HR"/>
              </w:rPr>
              <w:instrText xml:space="preserve"> PAGEREF _Toc206054332 \h </w:instrText>
            </w:r>
            <w:r w:rsidRPr="00B8467B">
              <w:rPr>
                <w:rStyle w:val="Hiperveza"/>
                <w:rFonts w:ascii="Calibri" w:eastAsia="Times New Roman" w:hAnsi="Calibri" w:cs="Calibri"/>
                <w:webHidden/>
                <w:lang w:eastAsia="hr-HR"/>
              </w:rPr>
            </w:r>
            <w:r w:rsidRPr="00B8467B">
              <w:rPr>
                <w:rStyle w:val="Hiperveza"/>
                <w:rFonts w:ascii="Calibri" w:eastAsia="Times New Roman" w:hAnsi="Calibri" w:cs="Calibri"/>
                <w:webHidden/>
                <w:lang w:eastAsia="hr-HR"/>
              </w:rPr>
              <w:fldChar w:fldCharType="separate"/>
            </w:r>
            <w:r w:rsidRPr="00B8467B">
              <w:rPr>
                <w:rStyle w:val="Hiperveza"/>
                <w:rFonts w:ascii="Calibri" w:eastAsia="Times New Roman" w:hAnsi="Calibri" w:cs="Calibri"/>
                <w:webHidden/>
                <w:lang w:eastAsia="hr-HR"/>
              </w:rPr>
              <w:t>10</w:t>
            </w:r>
            <w:r w:rsidRPr="00B8467B">
              <w:rPr>
                <w:rStyle w:val="Hiperveza"/>
                <w:rFonts w:ascii="Calibri" w:eastAsia="Times New Roman" w:hAnsi="Calibri" w:cs="Calibri"/>
                <w:webHidden/>
                <w:lang w:eastAsia="hr-HR"/>
              </w:rPr>
              <w:fldChar w:fldCharType="end"/>
            </w:r>
          </w:hyperlink>
        </w:p>
        <w:p w14:paraId="4CF66600" w14:textId="77777777" w:rsidR="00B8467B" w:rsidRPr="00B8467B" w:rsidRDefault="00B8467B" w:rsidP="00B8467B">
          <w:pPr>
            <w:rPr>
              <w:rFonts w:ascii="Calibri" w:eastAsia="Times New Roman" w:hAnsi="Calibri" w:cs="Calibri"/>
              <w:color w:val="000000"/>
              <w:lang w:val="en-GB" w:eastAsia="hr-HR"/>
            </w:rPr>
          </w:pPr>
          <w:hyperlink w:anchor="_Toc206054333" w:history="1">
            <w:r w:rsidRPr="00B8467B">
              <w:rPr>
                <w:rStyle w:val="Hiperveza"/>
                <w:rFonts w:ascii="Calibri" w:eastAsia="Times New Roman" w:hAnsi="Calibri" w:cs="Calibri"/>
                <w:lang w:eastAsia="hr-HR"/>
              </w:rPr>
              <w:t>6.8. Primjena načela transparentnosti</w:t>
            </w:r>
            <w:r w:rsidRPr="00B8467B">
              <w:rPr>
                <w:rStyle w:val="Hiperveza"/>
                <w:rFonts w:ascii="Calibri" w:eastAsia="Times New Roman" w:hAnsi="Calibri" w:cs="Calibri"/>
                <w:webHidden/>
                <w:lang w:eastAsia="hr-HR"/>
              </w:rPr>
              <w:tab/>
            </w:r>
            <w:r w:rsidRPr="00B8467B">
              <w:rPr>
                <w:rStyle w:val="Hiperveza"/>
                <w:rFonts w:ascii="Calibri" w:eastAsia="Times New Roman" w:hAnsi="Calibri" w:cs="Calibri"/>
                <w:webHidden/>
                <w:lang w:eastAsia="hr-HR"/>
              </w:rPr>
              <w:fldChar w:fldCharType="begin"/>
            </w:r>
            <w:r w:rsidRPr="00B8467B">
              <w:rPr>
                <w:rStyle w:val="Hiperveza"/>
                <w:rFonts w:ascii="Calibri" w:eastAsia="Times New Roman" w:hAnsi="Calibri" w:cs="Calibri"/>
                <w:webHidden/>
                <w:lang w:eastAsia="hr-HR"/>
              </w:rPr>
              <w:instrText xml:space="preserve"> PAGEREF _Toc206054333 \h </w:instrText>
            </w:r>
            <w:r w:rsidRPr="00B8467B">
              <w:rPr>
                <w:rStyle w:val="Hiperveza"/>
                <w:rFonts w:ascii="Calibri" w:eastAsia="Times New Roman" w:hAnsi="Calibri" w:cs="Calibri"/>
                <w:webHidden/>
                <w:lang w:eastAsia="hr-HR"/>
              </w:rPr>
            </w:r>
            <w:r w:rsidRPr="00B8467B">
              <w:rPr>
                <w:rStyle w:val="Hiperveza"/>
                <w:rFonts w:ascii="Calibri" w:eastAsia="Times New Roman" w:hAnsi="Calibri" w:cs="Calibri"/>
                <w:webHidden/>
                <w:lang w:eastAsia="hr-HR"/>
              </w:rPr>
              <w:fldChar w:fldCharType="separate"/>
            </w:r>
            <w:r w:rsidRPr="00B8467B">
              <w:rPr>
                <w:rStyle w:val="Hiperveza"/>
                <w:rFonts w:ascii="Calibri" w:eastAsia="Times New Roman" w:hAnsi="Calibri" w:cs="Calibri"/>
                <w:webHidden/>
                <w:lang w:eastAsia="hr-HR"/>
              </w:rPr>
              <w:t>10</w:t>
            </w:r>
            <w:r w:rsidRPr="00B8467B">
              <w:rPr>
                <w:rStyle w:val="Hiperveza"/>
                <w:rFonts w:ascii="Calibri" w:eastAsia="Times New Roman" w:hAnsi="Calibri" w:cs="Calibri"/>
                <w:webHidden/>
                <w:lang w:eastAsia="hr-HR"/>
              </w:rPr>
              <w:fldChar w:fldCharType="end"/>
            </w:r>
          </w:hyperlink>
        </w:p>
        <w:p w14:paraId="23B3E00C" w14:textId="77777777" w:rsidR="00B8467B" w:rsidRPr="00B8467B" w:rsidRDefault="00B8467B" w:rsidP="00B8467B">
          <w:pPr>
            <w:rPr>
              <w:rFonts w:ascii="Calibri" w:eastAsia="Times New Roman" w:hAnsi="Calibri" w:cs="Calibri"/>
              <w:color w:val="000000"/>
              <w:lang w:val="en-GB" w:eastAsia="hr-HR"/>
            </w:rPr>
          </w:pPr>
          <w:hyperlink w:anchor="_Toc206054334" w:history="1">
            <w:r w:rsidRPr="00B8467B">
              <w:rPr>
                <w:rStyle w:val="Hiperveza"/>
                <w:rFonts w:ascii="Calibri" w:eastAsia="Times New Roman" w:hAnsi="Calibri" w:cs="Calibri"/>
                <w:lang w:val="en-GB" w:eastAsia="hr-HR"/>
              </w:rPr>
              <w:t>7. ZADUŽIVANJE JEDINICA LOKALNE I PODRUČNE (REGIONALNE) SAMOUPRAVE, TE PLANIRANJE JAMSTAVA PREMA ZAKONU O PRORAČUNU</w:t>
            </w:r>
            <w:r w:rsidRPr="00B8467B">
              <w:rPr>
                <w:rStyle w:val="Hiperveza"/>
                <w:rFonts w:ascii="Calibri" w:eastAsia="Times New Roman" w:hAnsi="Calibri" w:cs="Calibri"/>
                <w:webHidden/>
                <w:lang w:val="en-GB" w:eastAsia="hr-HR"/>
              </w:rPr>
              <w:tab/>
            </w:r>
            <w:r w:rsidRPr="00B8467B">
              <w:rPr>
                <w:rStyle w:val="Hiperveza"/>
                <w:rFonts w:ascii="Calibri" w:eastAsia="Times New Roman" w:hAnsi="Calibri" w:cs="Calibri"/>
                <w:webHidden/>
                <w:lang w:val="en-GB" w:eastAsia="hr-HR"/>
              </w:rPr>
              <w:fldChar w:fldCharType="begin"/>
            </w:r>
            <w:r w:rsidRPr="00B8467B">
              <w:rPr>
                <w:rStyle w:val="Hiperveza"/>
                <w:rFonts w:ascii="Calibri" w:eastAsia="Times New Roman" w:hAnsi="Calibri" w:cs="Calibri"/>
                <w:webHidden/>
                <w:lang w:val="en-GB" w:eastAsia="hr-HR"/>
              </w:rPr>
              <w:instrText xml:space="preserve"> PAGEREF _Toc206054334 \h </w:instrText>
            </w:r>
            <w:r w:rsidRPr="00B8467B">
              <w:rPr>
                <w:rStyle w:val="Hiperveza"/>
                <w:rFonts w:ascii="Calibri" w:eastAsia="Times New Roman" w:hAnsi="Calibri" w:cs="Calibri"/>
                <w:webHidden/>
                <w:lang w:val="en-GB" w:eastAsia="hr-HR"/>
              </w:rPr>
            </w:r>
            <w:r w:rsidRPr="00B8467B">
              <w:rPr>
                <w:rStyle w:val="Hiperveza"/>
                <w:rFonts w:ascii="Calibri" w:eastAsia="Times New Roman" w:hAnsi="Calibri" w:cs="Calibri"/>
                <w:webHidden/>
                <w:lang w:val="en-GB" w:eastAsia="hr-HR"/>
              </w:rPr>
              <w:fldChar w:fldCharType="separate"/>
            </w:r>
            <w:r w:rsidRPr="00B8467B">
              <w:rPr>
                <w:rStyle w:val="Hiperveza"/>
                <w:rFonts w:ascii="Calibri" w:eastAsia="Times New Roman" w:hAnsi="Calibri" w:cs="Calibri"/>
                <w:webHidden/>
                <w:lang w:val="en-GB" w:eastAsia="hr-HR"/>
              </w:rPr>
              <w:t>11</w:t>
            </w:r>
            <w:r w:rsidRPr="00B8467B">
              <w:rPr>
                <w:rStyle w:val="Hiperveza"/>
                <w:rFonts w:ascii="Calibri" w:eastAsia="Times New Roman" w:hAnsi="Calibri" w:cs="Calibri"/>
                <w:webHidden/>
                <w:lang w:eastAsia="hr-HR"/>
              </w:rPr>
              <w:fldChar w:fldCharType="end"/>
            </w:r>
          </w:hyperlink>
        </w:p>
        <w:p w14:paraId="46A7023A" w14:textId="77777777" w:rsidR="00B8467B" w:rsidRPr="00B8467B" w:rsidRDefault="00B8467B" w:rsidP="00B8467B">
          <w:pPr>
            <w:rPr>
              <w:rFonts w:ascii="Calibri" w:eastAsia="Times New Roman" w:hAnsi="Calibri" w:cs="Calibri"/>
              <w:color w:val="000000"/>
              <w:lang w:val="en-GB" w:eastAsia="hr-HR"/>
            </w:rPr>
          </w:pPr>
          <w:hyperlink w:anchor="_Toc206054335" w:history="1">
            <w:r w:rsidRPr="00B8467B">
              <w:rPr>
                <w:rStyle w:val="Hiperveza"/>
                <w:rFonts w:ascii="Calibri" w:eastAsia="Times New Roman" w:hAnsi="Calibri" w:cs="Calibri"/>
                <w:lang w:val="en-GB" w:eastAsia="hr-HR"/>
              </w:rPr>
              <w:t>8. KRAJNJI KORISNICI PRORAČUNSKIH SREDSTAVA OPĆINE NUŠTAR</w:t>
            </w:r>
            <w:r w:rsidRPr="00B8467B">
              <w:rPr>
                <w:rStyle w:val="Hiperveza"/>
                <w:rFonts w:ascii="Calibri" w:eastAsia="Times New Roman" w:hAnsi="Calibri" w:cs="Calibri"/>
                <w:webHidden/>
                <w:lang w:val="en-GB" w:eastAsia="hr-HR"/>
              </w:rPr>
              <w:tab/>
            </w:r>
            <w:r w:rsidRPr="00B8467B">
              <w:rPr>
                <w:rStyle w:val="Hiperveza"/>
                <w:rFonts w:ascii="Calibri" w:eastAsia="Times New Roman" w:hAnsi="Calibri" w:cs="Calibri"/>
                <w:webHidden/>
                <w:lang w:val="en-GB" w:eastAsia="hr-HR"/>
              </w:rPr>
              <w:fldChar w:fldCharType="begin"/>
            </w:r>
            <w:r w:rsidRPr="00B8467B">
              <w:rPr>
                <w:rStyle w:val="Hiperveza"/>
                <w:rFonts w:ascii="Calibri" w:eastAsia="Times New Roman" w:hAnsi="Calibri" w:cs="Calibri"/>
                <w:webHidden/>
                <w:lang w:val="en-GB" w:eastAsia="hr-HR"/>
              </w:rPr>
              <w:instrText xml:space="preserve"> PAGEREF _Toc206054335 \h </w:instrText>
            </w:r>
            <w:r w:rsidRPr="00B8467B">
              <w:rPr>
                <w:rStyle w:val="Hiperveza"/>
                <w:rFonts w:ascii="Calibri" w:eastAsia="Times New Roman" w:hAnsi="Calibri" w:cs="Calibri"/>
                <w:webHidden/>
                <w:lang w:val="en-GB" w:eastAsia="hr-HR"/>
              </w:rPr>
            </w:r>
            <w:r w:rsidRPr="00B8467B">
              <w:rPr>
                <w:rStyle w:val="Hiperveza"/>
                <w:rFonts w:ascii="Calibri" w:eastAsia="Times New Roman" w:hAnsi="Calibri" w:cs="Calibri"/>
                <w:webHidden/>
                <w:lang w:val="en-GB" w:eastAsia="hr-HR"/>
              </w:rPr>
              <w:fldChar w:fldCharType="separate"/>
            </w:r>
            <w:r w:rsidRPr="00B8467B">
              <w:rPr>
                <w:rStyle w:val="Hiperveza"/>
                <w:rFonts w:ascii="Calibri" w:eastAsia="Times New Roman" w:hAnsi="Calibri" w:cs="Calibri"/>
                <w:webHidden/>
                <w:lang w:val="en-GB" w:eastAsia="hr-HR"/>
              </w:rPr>
              <w:t>12</w:t>
            </w:r>
            <w:r w:rsidRPr="00B8467B">
              <w:rPr>
                <w:rStyle w:val="Hiperveza"/>
                <w:rFonts w:ascii="Calibri" w:eastAsia="Times New Roman" w:hAnsi="Calibri" w:cs="Calibri"/>
                <w:webHidden/>
                <w:lang w:eastAsia="hr-HR"/>
              </w:rPr>
              <w:fldChar w:fldCharType="end"/>
            </w:r>
          </w:hyperlink>
        </w:p>
        <w:p w14:paraId="100D4B0F" w14:textId="77777777" w:rsidR="00B8467B" w:rsidRPr="00B8467B" w:rsidRDefault="00B8467B" w:rsidP="00B8467B">
          <w:pPr>
            <w:rPr>
              <w:rFonts w:ascii="Calibri" w:eastAsia="Times New Roman" w:hAnsi="Calibri" w:cs="Calibri"/>
              <w:color w:val="000000"/>
              <w:lang w:val="en-GB" w:eastAsia="hr-HR"/>
            </w:rPr>
          </w:pPr>
          <w:hyperlink w:anchor="_Toc206054336" w:history="1">
            <w:r w:rsidRPr="00B8467B">
              <w:rPr>
                <w:rStyle w:val="Hiperveza"/>
                <w:rFonts w:ascii="Calibri" w:eastAsia="Times New Roman" w:hAnsi="Calibri" w:cs="Calibri"/>
                <w:lang w:val="en-GB" w:eastAsia="hr-HR"/>
              </w:rPr>
              <w:t>9. IZMJENE I DOPUNE FINANCIJSKOG PLANA ZA 2025. GODINU</w:t>
            </w:r>
            <w:r w:rsidRPr="00B8467B">
              <w:rPr>
                <w:rStyle w:val="Hiperveza"/>
                <w:rFonts w:ascii="Calibri" w:eastAsia="Times New Roman" w:hAnsi="Calibri" w:cs="Calibri"/>
                <w:webHidden/>
                <w:lang w:val="en-GB" w:eastAsia="hr-HR"/>
              </w:rPr>
              <w:tab/>
            </w:r>
            <w:r w:rsidRPr="00B8467B">
              <w:rPr>
                <w:rStyle w:val="Hiperveza"/>
                <w:rFonts w:ascii="Calibri" w:eastAsia="Times New Roman" w:hAnsi="Calibri" w:cs="Calibri"/>
                <w:webHidden/>
                <w:lang w:val="en-GB" w:eastAsia="hr-HR"/>
              </w:rPr>
              <w:fldChar w:fldCharType="begin"/>
            </w:r>
            <w:r w:rsidRPr="00B8467B">
              <w:rPr>
                <w:rStyle w:val="Hiperveza"/>
                <w:rFonts w:ascii="Calibri" w:eastAsia="Times New Roman" w:hAnsi="Calibri" w:cs="Calibri"/>
                <w:webHidden/>
                <w:lang w:val="en-GB" w:eastAsia="hr-HR"/>
              </w:rPr>
              <w:instrText xml:space="preserve"> PAGEREF _Toc206054336 \h </w:instrText>
            </w:r>
            <w:r w:rsidRPr="00B8467B">
              <w:rPr>
                <w:rStyle w:val="Hiperveza"/>
                <w:rFonts w:ascii="Calibri" w:eastAsia="Times New Roman" w:hAnsi="Calibri" w:cs="Calibri"/>
                <w:webHidden/>
                <w:lang w:val="en-GB" w:eastAsia="hr-HR"/>
              </w:rPr>
            </w:r>
            <w:r w:rsidRPr="00B8467B">
              <w:rPr>
                <w:rStyle w:val="Hiperveza"/>
                <w:rFonts w:ascii="Calibri" w:eastAsia="Times New Roman" w:hAnsi="Calibri" w:cs="Calibri"/>
                <w:webHidden/>
                <w:lang w:val="en-GB" w:eastAsia="hr-HR"/>
              </w:rPr>
              <w:fldChar w:fldCharType="separate"/>
            </w:r>
            <w:r w:rsidRPr="00B8467B">
              <w:rPr>
                <w:rStyle w:val="Hiperveza"/>
                <w:rFonts w:ascii="Calibri" w:eastAsia="Times New Roman" w:hAnsi="Calibri" w:cs="Calibri"/>
                <w:webHidden/>
                <w:lang w:val="en-GB" w:eastAsia="hr-HR"/>
              </w:rPr>
              <w:t>12</w:t>
            </w:r>
            <w:r w:rsidRPr="00B8467B">
              <w:rPr>
                <w:rStyle w:val="Hiperveza"/>
                <w:rFonts w:ascii="Calibri" w:eastAsia="Times New Roman" w:hAnsi="Calibri" w:cs="Calibri"/>
                <w:webHidden/>
                <w:lang w:eastAsia="hr-HR"/>
              </w:rPr>
              <w:fldChar w:fldCharType="end"/>
            </w:r>
          </w:hyperlink>
        </w:p>
        <w:p w14:paraId="690525B6" w14:textId="77777777" w:rsidR="00B8467B" w:rsidRPr="00B8467B" w:rsidRDefault="00B8467B" w:rsidP="00B8467B">
          <w:pPr>
            <w:rPr>
              <w:rFonts w:ascii="Calibri" w:eastAsia="Times New Roman" w:hAnsi="Calibri" w:cs="Calibri"/>
              <w:color w:val="000000"/>
              <w:lang w:val="en-GB" w:eastAsia="hr-HR"/>
            </w:rPr>
          </w:pPr>
          <w:hyperlink w:anchor="_Toc206054337" w:history="1">
            <w:r w:rsidRPr="00B8467B">
              <w:rPr>
                <w:rStyle w:val="Hiperveza"/>
                <w:rFonts w:ascii="Calibri" w:eastAsia="Times New Roman" w:hAnsi="Calibri" w:cs="Calibri"/>
                <w:lang w:val="en-GB" w:eastAsia="hr-HR"/>
              </w:rPr>
              <w:t>10. ULAZAK U SUSTAV RIZNICE</w:t>
            </w:r>
            <w:r w:rsidRPr="00B8467B">
              <w:rPr>
                <w:rStyle w:val="Hiperveza"/>
                <w:rFonts w:ascii="Calibri" w:eastAsia="Times New Roman" w:hAnsi="Calibri" w:cs="Calibri"/>
                <w:webHidden/>
                <w:lang w:val="en-GB" w:eastAsia="hr-HR"/>
              </w:rPr>
              <w:tab/>
            </w:r>
            <w:r w:rsidRPr="00B8467B">
              <w:rPr>
                <w:rStyle w:val="Hiperveza"/>
                <w:rFonts w:ascii="Calibri" w:eastAsia="Times New Roman" w:hAnsi="Calibri" w:cs="Calibri"/>
                <w:webHidden/>
                <w:lang w:val="en-GB" w:eastAsia="hr-HR"/>
              </w:rPr>
              <w:fldChar w:fldCharType="begin"/>
            </w:r>
            <w:r w:rsidRPr="00B8467B">
              <w:rPr>
                <w:rStyle w:val="Hiperveza"/>
                <w:rFonts w:ascii="Calibri" w:eastAsia="Times New Roman" w:hAnsi="Calibri" w:cs="Calibri"/>
                <w:webHidden/>
                <w:lang w:val="en-GB" w:eastAsia="hr-HR"/>
              </w:rPr>
              <w:instrText xml:space="preserve"> PAGEREF _Toc206054337 \h </w:instrText>
            </w:r>
            <w:r w:rsidRPr="00B8467B">
              <w:rPr>
                <w:rStyle w:val="Hiperveza"/>
                <w:rFonts w:ascii="Calibri" w:eastAsia="Times New Roman" w:hAnsi="Calibri" w:cs="Calibri"/>
                <w:webHidden/>
                <w:lang w:val="en-GB" w:eastAsia="hr-HR"/>
              </w:rPr>
            </w:r>
            <w:r w:rsidRPr="00B8467B">
              <w:rPr>
                <w:rStyle w:val="Hiperveza"/>
                <w:rFonts w:ascii="Calibri" w:eastAsia="Times New Roman" w:hAnsi="Calibri" w:cs="Calibri"/>
                <w:webHidden/>
                <w:lang w:val="en-GB" w:eastAsia="hr-HR"/>
              </w:rPr>
              <w:fldChar w:fldCharType="separate"/>
            </w:r>
            <w:r w:rsidRPr="00B8467B">
              <w:rPr>
                <w:rStyle w:val="Hiperveza"/>
                <w:rFonts w:ascii="Calibri" w:eastAsia="Times New Roman" w:hAnsi="Calibri" w:cs="Calibri"/>
                <w:webHidden/>
                <w:lang w:val="en-GB" w:eastAsia="hr-HR"/>
              </w:rPr>
              <w:t>12</w:t>
            </w:r>
            <w:r w:rsidRPr="00B8467B">
              <w:rPr>
                <w:rStyle w:val="Hiperveza"/>
                <w:rFonts w:ascii="Calibri" w:eastAsia="Times New Roman" w:hAnsi="Calibri" w:cs="Calibri"/>
                <w:webHidden/>
                <w:lang w:eastAsia="hr-HR"/>
              </w:rPr>
              <w:fldChar w:fldCharType="end"/>
            </w:r>
          </w:hyperlink>
        </w:p>
        <w:p w14:paraId="058497DA" w14:textId="77777777" w:rsidR="00B8467B" w:rsidRPr="00B8467B" w:rsidRDefault="00B8467B" w:rsidP="00B8467B">
          <w:pPr>
            <w:rPr>
              <w:rFonts w:ascii="Calibri" w:eastAsia="Times New Roman" w:hAnsi="Calibri" w:cs="Calibri"/>
              <w:color w:val="000000"/>
              <w:lang w:val="en-GB" w:eastAsia="hr-HR"/>
            </w:rPr>
          </w:pPr>
          <w:hyperlink w:anchor="_Toc206054338" w:history="1">
            <w:r w:rsidRPr="00B8467B">
              <w:rPr>
                <w:rStyle w:val="Hiperveza"/>
                <w:rFonts w:ascii="Calibri" w:eastAsia="Times New Roman" w:hAnsi="Calibri" w:cs="Calibri"/>
                <w:lang w:val="en-GB" w:eastAsia="hr-HR"/>
              </w:rPr>
              <w:t>11.DOSTUPNOST MATERIJALA</w:t>
            </w:r>
            <w:r w:rsidRPr="00B8467B">
              <w:rPr>
                <w:rStyle w:val="Hiperveza"/>
                <w:rFonts w:ascii="Calibri" w:eastAsia="Times New Roman" w:hAnsi="Calibri" w:cs="Calibri"/>
                <w:webHidden/>
                <w:lang w:val="en-GB" w:eastAsia="hr-HR"/>
              </w:rPr>
              <w:tab/>
            </w:r>
            <w:r w:rsidRPr="00B8467B">
              <w:rPr>
                <w:rStyle w:val="Hiperveza"/>
                <w:rFonts w:ascii="Calibri" w:eastAsia="Times New Roman" w:hAnsi="Calibri" w:cs="Calibri"/>
                <w:webHidden/>
                <w:lang w:val="en-GB" w:eastAsia="hr-HR"/>
              </w:rPr>
              <w:fldChar w:fldCharType="begin"/>
            </w:r>
            <w:r w:rsidRPr="00B8467B">
              <w:rPr>
                <w:rStyle w:val="Hiperveza"/>
                <w:rFonts w:ascii="Calibri" w:eastAsia="Times New Roman" w:hAnsi="Calibri" w:cs="Calibri"/>
                <w:webHidden/>
                <w:lang w:val="en-GB" w:eastAsia="hr-HR"/>
              </w:rPr>
              <w:instrText xml:space="preserve"> PAGEREF _Toc206054338 \h </w:instrText>
            </w:r>
            <w:r w:rsidRPr="00B8467B">
              <w:rPr>
                <w:rStyle w:val="Hiperveza"/>
                <w:rFonts w:ascii="Calibri" w:eastAsia="Times New Roman" w:hAnsi="Calibri" w:cs="Calibri"/>
                <w:webHidden/>
                <w:lang w:val="en-GB" w:eastAsia="hr-HR"/>
              </w:rPr>
            </w:r>
            <w:r w:rsidRPr="00B8467B">
              <w:rPr>
                <w:rStyle w:val="Hiperveza"/>
                <w:rFonts w:ascii="Calibri" w:eastAsia="Times New Roman" w:hAnsi="Calibri" w:cs="Calibri"/>
                <w:webHidden/>
                <w:lang w:val="en-GB" w:eastAsia="hr-HR"/>
              </w:rPr>
              <w:fldChar w:fldCharType="separate"/>
            </w:r>
            <w:r w:rsidRPr="00B8467B">
              <w:rPr>
                <w:rStyle w:val="Hiperveza"/>
                <w:rFonts w:ascii="Calibri" w:eastAsia="Times New Roman" w:hAnsi="Calibri" w:cs="Calibri"/>
                <w:webHidden/>
                <w:lang w:val="en-GB" w:eastAsia="hr-HR"/>
              </w:rPr>
              <w:t>13</w:t>
            </w:r>
            <w:r w:rsidRPr="00B8467B">
              <w:rPr>
                <w:rStyle w:val="Hiperveza"/>
                <w:rFonts w:ascii="Calibri" w:eastAsia="Times New Roman" w:hAnsi="Calibri" w:cs="Calibri"/>
                <w:webHidden/>
                <w:lang w:eastAsia="hr-HR"/>
              </w:rPr>
              <w:fldChar w:fldCharType="end"/>
            </w:r>
          </w:hyperlink>
        </w:p>
        <w:p w14:paraId="4AC24CC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fldChar w:fldCharType="end"/>
          </w:r>
        </w:p>
      </w:sdtContent>
    </w:sdt>
    <w:p w14:paraId="1B084C2E" w14:textId="77777777" w:rsidR="00B8467B" w:rsidRPr="00B8467B" w:rsidRDefault="00B8467B" w:rsidP="00B8467B">
      <w:pPr>
        <w:rPr>
          <w:rFonts w:ascii="Calibri" w:eastAsia="Times New Roman" w:hAnsi="Calibri" w:cs="Calibri"/>
          <w:color w:val="000000"/>
          <w:lang w:eastAsia="hr-HR"/>
        </w:rPr>
      </w:pPr>
    </w:p>
    <w:p w14:paraId="285F4B0B" w14:textId="77777777" w:rsidR="00B8467B" w:rsidRPr="00B8467B" w:rsidRDefault="00B8467B" w:rsidP="00B8467B">
      <w:pPr>
        <w:rPr>
          <w:rFonts w:ascii="Calibri" w:eastAsia="Times New Roman" w:hAnsi="Calibri" w:cs="Calibri"/>
          <w:color w:val="000000"/>
          <w:lang w:eastAsia="hr-HR"/>
        </w:rPr>
      </w:pPr>
    </w:p>
    <w:p w14:paraId="6ACE9FAA" w14:textId="77777777" w:rsidR="00B8467B" w:rsidRPr="00B8467B" w:rsidRDefault="00B8467B" w:rsidP="00B8467B">
      <w:pPr>
        <w:rPr>
          <w:rFonts w:ascii="Calibri" w:eastAsia="Times New Roman" w:hAnsi="Calibri" w:cs="Calibri"/>
          <w:color w:val="000000"/>
          <w:lang w:eastAsia="hr-HR"/>
        </w:rPr>
      </w:pPr>
    </w:p>
    <w:p w14:paraId="13D01F37" w14:textId="77777777" w:rsidR="00B8467B" w:rsidRPr="00B8467B" w:rsidRDefault="00B8467B" w:rsidP="00B8467B">
      <w:pPr>
        <w:rPr>
          <w:rFonts w:ascii="Calibri" w:eastAsia="Times New Roman" w:hAnsi="Calibri" w:cs="Calibri"/>
          <w:color w:val="000000"/>
          <w:lang w:eastAsia="hr-HR"/>
        </w:rPr>
      </w:pPr>
    </w:p>
    <w:p w14:paraId="324A4E88" w14:textId="77777777" w:rsidR="00B8467B" w:rsidRPr="00B8467B" w:rsidRDefault="00B8467B" w:rsidP="00B8467B">
      <w:pPr>
        <w:rPr>
          <w:rFonts w:ascii="Calibri" w:eastAsia="Times New Roman" w:hAnsi="Calibri" w:cs="Calibri"/>
          <w:color w:val="000000"/>
          <w:lang w:eastAsia="hr-HR"/>
        </w:rPr>
      </w:pPr>
    </w:p>
    <w:p w14:paraId="67B3912B" w14:textId="77777777" w:rsidR="00B8467B" w:rsidRPr="00B8467B" w:rsidRDefault="00B8467B" w:rsidP="00B8467B">
      <w:pPr>
        <w:rPr>
          <w:rFonts w:ascii="Calibri" w:eastAsia="Times New Roman" w:hAnsi="Calibri" w:cs="Calibri"/>
          <w:color w:val="000000"/>
          <w:lang w:eastAsia="hr-HR"/>
        </w:rPr>
      </w:pPr>
    </w:p>
    <w:p w14:paraId="6ED50FAF" w14:textId="77777777" w:rsidR="00B8467B" w:rsidRPr="00B8467B" w:rsidRDefault="00B8467B" w:rsidP="00B8467B">
      <w:pPr>
        <w:rPr>
          <w:rFonts w:ascii="Calibri" w:eastAsia="Times New Roman" w:hAnsi="Calibri" w:cs="Calibri"/>
          <w:color w:val="000000"/>
          <w:lang w:eastAsia="hr-HR"/>
        </w:rPr>
      </w:pPr>
    </w:p>
    <w:p w14:paraId="7EC7B072" w14:textId="77777777" w:rsidR="00B8467B" w:rsidRPr="00B8467B" w:rsidRDefault="00B8467B" w:rsidP="00B8467B">
      <w:pPr>
        <w:rPr>
          <w:rFonts w:ascii="Calibri" w:eastAsia="Times New Roman" w:hAnsi="Calibri" w:cs="Calibri"/>
          <w:color w:val="000000"/>
          <w:lang w:eastAsia="hr-HR"/>
        </w:rPr>
      </w:pPr>
    </w:p>
    <w:p w14:paraId="4DC8F9A1" w14:textId="77777777" w:rsidR="00B8467B" w:rsidRDefault="00B8467B" w:rsidP="00B8467B">
      <w:pPr>
        <w:rPr>
          <w:rFonts w:ascii="Calibri" w:eastAsia="Times New Roman" w:hAnsi="Calibri" w:cs="Calibri"/>
          <w:color w:val="000000"/>
          <w:lang w:eastAsia="hr-HR"/>
        </w:rPr>
      </w:pPr>
    </w:p>
    <w:p w14:paraId="2A5D76B0" w14:textId="77777777" w:rsidR="00B8467B" w:rsidRDefault="00B8467B" w:rsidP="00B8467B">
      <w:pPr>
        <w:rPr>
          <w:rFonts w:ascii="Calibri" w:eastAsia="Times New Roman" w:hAnsi="Calibri" w:cs="Calibri"/>
          <w:color w:val="000000"/>
          <w:lang w:eastAsia="hr-HR"/>
        </w:rPr>
      </w:pPr>
    </w:p>
    <w:p w14:paraId="15DEFBCF" w14:textId="77777777" w:rsidR="00B8467B" w:rsidRDefault="00B8467B" w:rsidP="00B8467B">
      <w:pPr>
        <w:rPr>
          <w:rFonts w:ascii="Calibri" w:eastAsia="Times New Roman" w:hAnsi="Calibri" w:cs="Calibri"/>
          <w:color w:val="000000"/>
          <w:lang w:eastAsia="hr-HR"/>
        </w:rPr>
      </w:pPr>
    </w:p>
    <w:p w14:paraId="21CDCE9C" w14:textId="77777777" w:rsidR="00B8467B" w:rsidRDefault="00B8467B" w:rsidP="00B8467B">
      <w:pPr>
        <w:rPr>
          <w:rFonts w:ascii="Calibri" w:eastAsia="Times New Roman" w:hAnsi="Calibri" w:cs="Calibri"/>
          <w:color w:val="000000"/>
          <w:lang w:eastAsia="hr-HR"/>
        </w:rPr>
      </w:pPr>
    </w:p>
    <w:p w14:paraId="6D8EF15C" w14:textId="77777777" w:rsidR="00B8467B" w:rsidRDefault="00B8467B" w:rsidP="00B8467B">
      <w:pPr>
        <w:rPr>
          <w:rFonts w:ascii="Calibri" w:eastAsia="Times New Roman" w:hAnsi="Calibri" w:cs="Calibri"/>
          <w:color w:val="000000"/>
          <w:lang w:eastAsia="hr-HR"/>
        </w:rPr>
      </w:pPr>
    </w:p>
    <w:p w14:paraId="29497487" w14:textId="77777777" w:rsidR="00B8467B" w:rsidRDefault="00B8467B" w:rsidP="00B8467B">
      <w:pPr>
        <w:rPr>
          <w:rFonts w:ascii="Calibri" w:eastAsia="Times New Roman" w:hAnsi="Calibri" w:cs="Calibri"/>
          <w:color w:val="000000"/>
          <w:lang w:eastAsia="hr-HR"/>
        </w:rPr>
      </w:pPr>
    </w:p>
    <w:p w14:paraId="00354FB0" w14:textId="77777777" w:rsidR="00B8467B" w:rsidRDefault="00B8467B" w:rsidP="00B8467B">
      <w:pPr>
        <w:rPr>
          <w:rFonts w:ascii="Calibri" w:eastAsia="Times New Roman" w:hAnsi="Calibri" w:cs="Calibri"/>
          <w:color w:val="000000"/>
          <w:lang w:eastAsia="hr-HR"/>
        </w:rPr>
      </w:pPr>
    </w:p>
    <w:p w14:paraId="4F7270F1" w14:textId="77777777" w:rsidR="00B8467B" w:rsidRDefault="00B8467B" w:rsidP="00B8467B">
      <w:pPr>
        <w:rPr>
          <w:rFonts w:ascii="Calibri" w:eastAsia="Times New Roman" w:hAnsi="Calibri" w:cs="Calibri"/>
          <w:color w:val="000000"/>
          <w:lang w:eastAsia="hr-HR"/>
        </w:rPr>
      </w:pPr>
    </w:p>
    <w:p w14:paraId="45749BD4" w14:textId="77777777" w:rsidR="00B8467B" w:rsidRDefault="00B8467B" w:rsidP="00B8467B">
      <w:pPr>
        <w:rPr>
          <w:rFonts w:ascii="Calibri" w:eastAsia="Times New Roman" w:hAnsi="Calibri" w:cs="Calibri"/>
          <w:color w:val="000000"/>
          <w:lang w:eastAsia="hr-HR"/>
        </w:rPr>
      </w:pPr>
    </w:p>
    <w:p w14:paraId="31BF1074" w14:textId="77777777" w:rsidR="00B8467B" w:rsidRDefault="00B8467B" w:rsidP="00B8467B">
      <w:pPr>
        <w:rPr>
          <w:rFonts w:ascii="Calibri" w:eastAsia="Times New Roman" w:hAnsi="Calibri" w:cs="Calibri"/>
          <w:color w:val="000000"/>
          <w:lang w:eastAsia="hr-HR"/>
        </w:rPr>
      </w:pPr>
    </w:p>
    <w:p w14:paraId="4A60AF25" w14:textId="77777777" w:rsidR="00B8467B" w:rsidRDefault="00B8467B" w:rsidP="00B8467B">
      <w:pPr>
        <w:rPr>
          <w:rFonts w:ascii="Calibri" w:eastAsia="Times New Roman" w:hAnsi="Calibri" w:cs="Calibri"/>
          <w:color w:val="000000"/>
          <w:lang w:eastAsia="hr-HR"/>
        </w:rPr>
      </w:pPr>
    </w:p>
    <w:p w14:paraId="0C37759C" w14:textId="77777777" w:rsidR="00B8467B" w:rsidRDefault="00B8467B" w:rsidP="00B8467B">
      <w:pPr>
        <w:rPr>
          <w:rFonts w:ascii="Calibri" w:eastAsia="Times New Roman" w:hAnsi="Calibri" w:cs="Calibri"/>
          <w:color w:val="000000"/>
          <w:lang w:eastAsia="hr-HR"/>
        </w:rPr>
      </w:pPr>
    </w:p>
    <w:p w14:paraId="65B3A9B9" w14:textId="77777777" w:rsidR="00B8467B" w:rsidRDefault="00B8467B" w:rsidP="00B8467B">
      <w:pPr>
        <w:rPr>
          <w:rFonts w:ascii="Calibri" w:eastAsia="Times New Roman" w:hAnsi="Calibri" w:cs="Calibri"/>
          <w:color w:val="000000"/>
          <w:lang w:eastAsia="hr-HR"/>
        </w:rPr>
      </w:pPr>
    </w:p>
    <w:p w14:paraId="1A568AE8" w14:textId="77777777" w:rsidR="00B8467B" w:rsidRDefault="00B8467B" w:rsidP="00B8467B">
      <w:pPr>
        <w:rPr>
          <w:rFonts w:ascii="Calibri" w:eastAsia="Times New Roman" w:hAnsi="Calibri" w:cs="Calibri"/>
          <w:color w:val="000000"/>
          <w:lang w:eastAsia="hr-HR"/>
        </w:rPr>
      </w:pPr>
    </w:p>
    <w:p w14:paraId="6DA17716" w14:textId="77777777" w:rsidR="00B8467B" w:rsidRDefault="00B8467B" w:rsidP="00B8467B">
      <w:pPr>
        <w:rPr>
          <w:rFonts w:ascii="Calibri" w:eastAsia="Times New Roman" w:hAnsi="Calibri" w:cs="Calibri"/>
          <w:color w:val="000000"/>
          <w:lang w:eastAsia="hr-HR"/>
        </w:rPr>
      </w:pPr>
    </w:p>
    <w:p w14:paraId="12C879AB" w14:textId="77777777" w:rsidR="00B8467B" w:rsidRDefault="00B8467B" w:rsidP="00B8467B">
      <w:pPr>
        <w:rPr>
          <w:rFonts w:ascii="Calibri" w:eastAsia="Times New Roman" w:hAnsi="Calibri" w:cs="Calibri"/>
          <w:color w:val="000000"/>
          <w:lang w:eastAsia="hr-HR"/>
        </w:rPr>
      </w:pPr>
    </w:p>
    <w:p w14:paraId="12A26994" w14:textId="77777777" w:rsidR="00B8467B" w:rsidRDefault="00B8467B" w:rsidP="00B8467B">
      <w:pPr>
        <w:rPr>
          <w:rFonts w:ascii="Calibri" w:eastAsia="Times New Roman" w:hAnsi="Calibri" w:cs="Calibri"/>
          <w:color w:val="000000"/>
          <w:lang w:eastAsia="hr-HR"/>
        </w:rPr>
      </w:pPr>
    </w:p>
    <w:p w14:paraId="7722B4C8" w14:textId="77777777" w:rsidR="00B8467B" w:rsidRDefault="00B8467B" w:rsidP="00B8467B">
      <w:pPr>
        <w:rPr>
          <w:rFonts w:ascii="Calibri" w:eastAsia="Times New Roman" w:hAnsi="Calibri" w:cs="Calibri"/>
          <w:color w:val="000000"/>
          <w:lang w:eastAsia="hr-HR"/>
        </w:rPr>
      </w:pPr>
    </w:p>
    <w:p w14:paraId="45339FFC" w14:textId="77777777" w:rsidR="00B8467B" w:rsidRDefault="00B8467B" w:rsidP="00B8467B">
      <w:pPr>
        <w:rPr>
          <w:rFonts w:ascii="Calibri" w:eastAsia="Times New Roman" w:hAnsi="Calibri" w:cs="Calibri"/>
          <w:color w:val="000000"/>
          <w:lang w:eastAsia="hr-HR"/>
        </w:rPr>
      </w:pPr>
    </w:p>
    <w:p w14:paraId="1F6F2B26" w14:textId="77777777" w:rsidR="00B8467B" w:rsidRDefault="00B8467B" w:rsidP="00B8467B">
      <w:pPr>
        <w:rPr>
          <w:rFonts w:ascii="Calibri" w:eastAsia="Times New Roman" w:hAnsi="Calibri" w:cs="Calibri"/>
          <w:color w:val="000000"/>
          <w:lang w:eastAsia="hr-HR"/>
        </w:rPr>
      </w:pPr>
    </w:p>
    <w:p w14:paraId="54E1258C" w14:textId="77777777" w:rsidR="00B8467B" w:rsidRPr="00B8467B" w:rsidRDefault="00B8467B" w:rsidP="00B8467B">
      <w:pPr>
        <w:rPr>
          <w:rFonts w:ascii="Calibri" w:eastAsia="Times New Roman" w:hAnsi="Calibri" w:cs="Calibri"/>
          <w:color w:val="000000"/>
          <w:lang w:eastAsia="hr-HR"/>
        </w:rPr>
      </w:pPr>
    </w:p>
    <w:p w14:paraId="321D64D7" w14:textId="77777777" w:rsidR="00B8467B" w:rsidRPr="00B8467B" w:rsidRDefault="00B8467B" w:rsidP="00B8467B">
      <w:pPr>
        <w:rPr>
          <w:rFonts w:ascii="Calibri" w:eastAsia="Times New Roman" w:hAnsi="Calibri" w:cs="Calibri"/>
          <w:b/>
          <w:bCs/>
          <w:color w:val="000000"/>
          <w:lang w:eastAsia="hr-HR"/>
        </w:rPr>
      </w:pPr>
      <w:bookmarkStart w:id="1" w:name="_Toc206054320"/>
      <w:r w:rsidRPr="00B8467B">
        <w:rPr>
          <w:rFonts w:ascii="Calibri" w:eastAsia="Times New Roman" w:hAnsi="Calibri" w:cs="Calibri"/>
          <w:color w:val="000000"/>
          <w:lang w:eastAsia="hr-HR"/>
        </w:rPr>
        <w:lastRenderedPageBreak/>
        <w:t>1. UVOD</w:t>
      </w:r>
      <w:bookmarkEnd w:id="1"/>
    </w:p>
    <w:p w14:paraId="2CB24D4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Sukladno odredbama članka 27. Zakona o proračunu (NN broj 144/21) Jedinstveni upravni odjel Općine Nuštar sastavlja Upute za izradu Proračuna Općine Nuštar i financijskih planova proračunskih korisnika za razdoblje od 2027. – 2029. godine. </w:t>
      </w:r>
    </w:p>
    <w:p w14:paraId="4F4C112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Prema proračunskom kalendaru, Vlada Republike Hrvatske (dalje u tekstu: Vlada) donosi i usvaja akte na temelju kojih Ministarstvo financija sastavlja upute za izradu državnog proračuna i proračuna jedinica lokalne i područne (regionalne) samouprave. U travnju 2023. Vlada je usvojila Program stabilnosti RH za razdoblje 2024. do 2026., na temelju kojega je u 30. lipnja 2026. donijela Odluku o proračunskom okviru za razdoblje 2027. – 2029. </w:t>
      </w:r>
    </w:p>
    <w:p w14:paraId="343A2BD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Temeljem navedenog ove upute sadrže: </w:t>
      </w:r>
    </w:p>
    <w:p w14:paraId="36B1369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temeljna ekonomska ishodišta i pretpostavke za izradu prijedloga proračuna općine </w:t>
      </w:r>
    </w:p>
    <w:p w14:paraId="47891ED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opis planiranih politika općine </w:t>
      </w:r>
    </w:p>
    <w:p w14:paraId="727211D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procjenu prihoda i rashoda te primitaka i izdataka proračuna općine u slijedeće 3 godine </w:t>
      </w:r>
    </w:p>
    <w:p w14:paraId="1D22AA1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metodologiju izrade financijskih planova proračunskih korisnika </w:t>
      </w:r>
    </w:p>
    <w:p w14:paraId="55E2FC8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terminski plan za izradu proračuna i prijedloga financijskog plana proračunskih korisnika </w:t>
      </w:r>
    </w:p>
    <w:p w14:paraId="7FFFBE2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dostupnost materijala. </w:t>
      </w:r>
    </w:p>
    <w:p w14:paraId="112E036F" w14:textId="77777777" w:rsidR="00B8467B" w:rsidRPr="00B8467B" w:rsidRDefault="00B8467B" w:rsidP="00B8467B">
      <w:pPr>
        <w:rPr>
          <w:rFonts w:ascii="Calibri" w:eastAsia="Times New Roman" w:hAnsi="Calibri" w:cs="Calibri"/>
          <w:color w:val="000000"/>
          <w:lang w:eastAsia="hr-HR"/>
        </w:rPr>
      </w:pPr>
    </w:p>
    <w:p w14:paraId="2D466E2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Pri izradi prijedloga financijskog plana proračunski korisnici Općine Nuštar obvezni su se pridržavati ovih uputa. Čelnik proračunskog korisnika odgovoran je za zakonito i pravilno planiranje i izvršavanje financijskog plana i u skladu s određenim limitima. </w:t>
      </w:r>
    </w:p>
    <w:p w14:paraId="01FC83D2" w14:textId="77777777" w:rsidR="00B8467B" w:rsidRPr="00B8467B" w:rsidRDefault="00B8467B" w:rsidP="00B8467B">
      <w:pPr>
        <w:rPr>
          <w:rFonts w:ascii="Calibri" w:eastAsia="Times New Roman" w:hAnsi="Calibri" w:cs="Calibri"/>
          <w:color w:val="000000"/>
          <w:lang w:eastAsia="hr-HR"/>
        </w:rPr>
      </w:pPr>
    </w:p>
    <w:p w14:paraId="4F59C4DD" w14:textId="77777777" w:rsidR="00B8467B" w:rsidRPr="00B8467B" w:rsidRDefault="00B8467B" w:rsidP="00B8467B">
      <w:pPr>
        <w:rPr>
          <w:rFonts w:ascii="Calibri" w:eastAsia="Times New Roman" w:hAnsi="Calibri" w:cs="Calibri"/>
          <w:color w:val="000000"/>
          <w:lang w:eastAsia="hr-HR"/>
        </w:rPr>
      </w:pPr>
      <w:bookmarkStart w:id="2" w:name="_Toc206054321"/>
      <w:r w:rsidRPr="00B8467B">
        <w:rPr>
          <w:rFonts w:ascii="Calibri" w:eastAsia="Times New Roman" w:hAnsi="Calibri" w:cs="Calibri"/>
          <w:color w:val="000000"/>
          <w:lang w:eastAsia="hr-HR"/>
        </w:rPr>
        <w:t>2. TEMELJNA EKONOMSKA ISHODIŠTA I PRETPOSTAVKE ZA IZRADU PRORAČUNA OPĆINE NUŠTAR</w:t>
      </w:r>
      <w:bookmarkEnd w:id="2"/>
    </w:p>
    <w:p w14:paraId="41E22742" w14:textId="77777777" w:rsidR="00B8467B" w:rsidRPr="00B8467B" w:rsidRDefault="00B8467B" w:rsidP="00B8467B">
      <w:pPr>
        <w:rPr>
          <w:rFonts w:ascii="Calibri" w:eastAsia="Times New Roman" w:hAnsi="Calibri" w:cs="Calibri"/>
          <w:color w:val="000000"/>
          <w:lang w:eastAsia="hr-HR"/>
        </w:rPr>
      </w:pPr>
    </w:p>
    <w:p w14:paraId="1C08D8B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Vlada je na sjednici održanoj 30. lipnja 2026. usvojila Odluku o proračunskom okviru za razdoblje 2027. - 2029. kojom je utvrđena visina rashoda koji se financiraju iz općih prihoda i primitaka, doprinosa i namjenskih primitaka po razdjelima organizacijske klasifikacije te visina manjka, odnosno viška izvanproračunskih korisnika državnog proračuna za razdoblje 2027. –2029.</w:t>
      </w:r>
    </w:p>
    <w:p w14:paraId="1A6E676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Temeljem Okvira za ekonomsko upravljanje Europskom unijom koji je stupio na snagu 30. travnja 2024. godine, u studenom 2024. Republika Hrvatska izradila je i dostavila Europskoj  komisiji Nacionalni srednjoročni fiskalno-strukturni plan za razdoblje 2025.-2028. U svibnju 2025. godine Republika Hrvatska je izradila i godišnje Izvješće o napretku u provedbi Nacionalnog srednjoročnog fiskalno-strukturnog plana Republike Hrvatske (za 2024. i 2025.godinu).</w:t>
      </w:r>
    </w:p>
    <w:p w14:paraId="1881B77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Sve navedeno predstavljalo je temelj za ocjenu i preporuke Europske komisije u svrhu unapređenja hrvatskog gospodarstva u okviru Proljetnog paketa Europskog semestra objavljenog početkom lipnja 2025. On uključuje Specifične preporuke Vijeća EU za Republiku Hrvatsku koje je potrebno provoditi kroz proračunske politike u sljedećih godinu dana. Ovdje je posebice istaknuta važnost poštivanja fiskalne održivosti, povećanih izdvajanja za obranu te ubrzanja provedbe Plana za oporavak i otpornost kao i kohezijskih fondova. Nadalje, potiče se energetska učinkovitost, konsolidacija politike obrazovanja, istraživanja i inovacija, jačanje politika tržišta rada te jačanje adekvatnosti socijalnih naknada i mirovina, vodeći istovremeno računa o fiskalnoj održivosti.</w:t>
      </w:r>
    </w:p>
    <w:p w14:paraId="4368B41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U tom smislu, ova Odluka je sastavni dio procesa izrade Nacrta proračunskog plana Republike  Hrvatske za 2026. godinu koji će Vlada usvojiti krajem listopada 2025. godine te dostaviti EU u svojstvu punopravne članice europodručja. U spomenutom dokumentu bit će predstavljene službene makroekonomske i fiskalne projekcije za 2025. i 2026. godinu, a što će biti osnova za pripremu proračuna i za razdoblje 2026. – 2028.</w:t>
      </w:r>
    </w:p>
    <w:p w14:paraId="22D197FF" w14:textId="77777777" w:rsidR="00B8467B" w:rsidRPr="00B8467B" w:rsidRDefault="00B8467B" w:rsidP="00B8467B">
      <w:pPr>
        <w:rPr>
          <w:rFonts w:ascii="Calibri" w:eastAsia="Times New Roman" w:hAnsi="Calibri" w:cs="Calibri"/>
          <w:color w:val="000000"/>
          <w:lang w:eastAsia="hr-HR"/>
        </w:rPr>
      </w:pPr>
    </w:p>
    <w:p w14:paraId="5DC0C99B" w14:textId="77777777" w:rsidR="00B8467B" w:rsidRPr="00B8467B" w:rsidRDefault="00B8467B" w:rsidP="00B8467B">
      <w:pPr>
        <w:rPr>
          <w:rFonts w:ascii="Calibri" w:eastAsia="Times New Roman" w:hAnsi="Calibri" w:cs="Calibri"/>
          <w:color w:val="000000"/>
          <w:lang w:eastAsia="hr-HR"/>
        </w:rPr>
      </w:pPr>
    </w:p>
    <w:p w14:paraId="48033373" w14:textId="77777777" w:rsidR="00B8467B" w:rsidRPr="00B8467B" w:rsidRDefault="00B8467B" w:rsidP="00B8467B">
      <w:pPr>
        <w:rPr>
          <w:rFonts w:ascii="Calibri" w:eastAsia="Times New Roman" w:hAnsi="Calibri" w:cs="Calibri"/>
          <w:color w:val="000000"/>
          <w:lang w:eastAsia="hr-HR"/>
        </w:rPr>
      </w:pPr>
      <w:bookmarkStart w:id="3" w:name="_Toc206054322"/>
      <w:r w:rsidRPr="00B8467B">
        <w:rPr>
          <w:rFonts w:ascii="Calibri" w:eastAsia="Times New Roman" w:hAnsi="Calibri" w:cs="Calibri"/>
          <w:color w:val="000000"/>
          <w:lang w:eastAsia="hr-HR"/>
        </w:rPr>
        <w:t>3. IZRADA, PREDLAGANJE I DONOŠENJE FINANCIJSKIH PLANOVA PREMA ZAKONU O PRORAČUNU</w:t>
      </w:r>
      <w:bookmarkEnd w:id="3"/>
    </w:p>
    <w:p w14:paraId="3DD98B15" w14:textId="77777777" w:rsidR="00B8467B" w:rsidRPr="00B8467B" w:rsidRDefault="00B8467B" w:rsidP="00B8467B">
      <w:pPr>
        <w:rPr>
          <w:rFonts w:ascii="Calibri" w:eastAsia="Times New Roman" w:hAnsi="Calibri" w:cs="Calibri"/>
          <w:b/>
          <w:bCs/>
          <w:color w:val="000000"/>
          <w:lang w:eastAsia="hr-HR"/>
        </w:rPr>
      </w:pPr>
    </w:p>
    <w:p w14:paraId="5DB98955"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 xml:space="preserve">Predlaganje i donošenje proračuna i financijskih planova za 2027. i projekcija za 2028. i 2029. na razini skupine ekonomske klasifikacije </w:t>
      </w:r>
    </w:p>
    <w:p w14:paraId="31D6608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Sukladno člancima 38., 39. i 42. proračun jedinice lokalne i područne (regionalne) samouprave, financijski plan proračunskog korisnika te financijski plan izvanproračunskog korisnika </w:t>
      </w:r>
      <w:r w:rsidRPr="00B8467B">
        <w:rPr>
          <w:rFonts w:ascii="Calibri" w:eastAsia="Times New Roman" w:hAnsi="Calibri" w:cs="Calibri"/>
          <w:b/>
          <w:bCs/>
          <w:color w:val="000000"/>
          <w:lang w:eastAsia="hr-HR"/>
        </w:rPr>
        <w:t>usvaja se na razini skupine ekonomske klasifikacije,</w:t>
      </w:r>
      <w:r w:rsidRPr="00B8467B">
        <w:rPr>
          <w:rFonts w:ascii="Calibri" w:eastAsia="Times New Roman" w:hAnsi="Calibri" w:cs="Calibri"/>
          <w:color w:val="000000"/>
          <w:lang w:eastAsia="hr-HR"/>
        </w:rPr>
        <w:t xml:space="preserve"> odnosno </w:t>
      </w:r>
      <w:r w:rsidRPr="00B8467B">
        <w:rPr>
          <w:rFonts w:ascii="Calibri" w:eastAsia="Times New Roman" w:hAnsi="Calibri" w:cs="Calibri"/>
          <w:b/>
          <w:bCs/>
          <w:color w:val="000000"/>
          <w:lang w:eastAsia="hr-HR"/>
        </w:rPr>
        <w:t>drugoj razini</w:t>
      </w:r>
      <w:r w:rsidRPr="00B8467B">
        <w:rPr>
          <w:rFonts w:ascii="Calibri" w:eastAsia="Times New Roman" w:hAnsi="Calibri" w:cs="Calibri"/>
          <w:color w:val="000000"/>
          <w:lang w:eastAsia="hr-HR"/>
        </w:rPr>
        <w:t xml:space="preserve"> računskog plana. </w:t>
      </w:r>
    </w:p>
    <w:p w14:paraId="08416B3E" w14:textId="77777777" w:rsidR="00B8467B" w:rsidRPr="00B8467B" w:rsidRDefault="00B8467B" w:rsidP="00B8467B">
      <w:pPr>
        <w:rPr>
          <w:rFonts w:ascii="Calibri" w:eastAsia="Times New Roman" w:hAnsi="Calibri" w:cs="Calibri"/>
          <w:color w:val="000000"/>
          <w:lang w:eastAsia="hr-HR"/>
        </w:rPr>
      </w:pPr>
    </w:p>
    <w:p w14:paraId="50BBE158"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lastRenderedPageBreak/>
        <w:t xml:space="preserve">Iskazivanje rashoda u Računu prihoda i rashoda po funkcijskoj klasifikaciji </w:t>
      </w:r>
    </w:p>
    <w:p w14:paraId="52C0D32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Članak 29. propisuje obvezu JLiP(R)S da u Općem dijelu proračuna u Računu prihoda i rashoda, rashode </w:t>
      </w:r>
      <w:r w:rsidRPr="00B8467B">
        <w:rPr>
          <w:rFonts w:ascii="Calibri" w:eastAsia="Times New Roman" w:hAnsi="Calibri" w:cs="Calibri"/>
          <w:b/>
          <w:bCs/>
          <w:color w:val="000000"/>
          <w:lang w:eastAsia="hr-HR"/>
        </w:rPr>
        <w:t>iskaže i prema funkcijskoj klasifikaciji</w:t>
      </w:r>
      <w:r w:rsidRPr="00B8467B">
        <w:rPr>
          <w:rFonts w:ascii="Calibri" w:eastAsia="Times New Roman" w:hAnsi="Calibri" w:cs="Calibri"/>
          <w:color w:val="000000"/>
          <w:lang w:eastAsia="hr-HR"/>
        </w:rPr>
        <w:t xml:space="preserve">. Ista je obveza propisana i proračunskim korisnicima županije koji sukladno članku 34. u Općem dijelu financijskog plana u Računu prihoda i rashoda, rashode proračunskog korisnika trebaju iskazati i prema funkcijskoj klasifikaciji. </w:t>
      </w:r>
    </w:p>
    <w:p w14:paraId="4A720F88" w14:textId="77777777" w:rsidR="00B8467B" w:rsidRPr="00B8467B" w:rsidRDefault="00B8467B" w:rsidP="00B8467B">
      <w:pPr>
        <w:rPr>
          <w:rFonts w:ascii="Calibri" w:eastAsia="Times New Roman" w:hAnsi="Calibri" w:cs="Calibri"/>
          <w:color w:val="000000"/>
          <w:lang w:eastAsia="hr-HR"/>
        </w:rPr>
      </w:pPr>
    </w:p>
    <w:p w14:paraId="14CAB85D"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 xml:space="preserve">Sažetak Računa prihoda i rashoda te sažetak Računa financiranja u Općem dijelu proračuna i financijskog plana </w:t>
      </w:r>
    </w:p>
    <w:p w14:paraId="400F871A"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Članak 29. i članak 34. propisuje što Opći dio proračuna sadrži, odnosno Opći dio financijskog plana proračunskih i izvanproračunskih korisnika obvezno sadrži i sažetak Računa prihoda i rashoda te sažetak Računa financiranja. </w:t>
      </w:r>
    </w:p>
    <w:p w14:paraId="2EBEB694" w14:textId="77777777" w:rsidR="00B8467B" w:rsidRPr="00B8467B" w:rsidRDefault="00B8467B" w:rsidP="00B8467B">
      <w:pPr>
        <w:rPr>
          <w:rFonts w:ascii="Calibri" w:eastAsia="Times New Roman" w:hAnsi="Calibri" w:cs="Calibri"/>
          <w:color w:val="000000"/>
          <w:lang w:eastAsia="hr-HR"/>
        </w:rPr>
      </w:pPr>
    </w:p>
    <w:p w14:paraId="656F2634"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 xml:space="preserve">Zakonska obveza izrade višegodišnjeg plana uravnoteženja </w:t>
      </w:r>
    </w:p>
    <w:p w14:paraId="74197BF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Članak 37. propisuje ukoliko JLP(R)S i njeni proračunski i izvanproračunski korisnici ne mogu preneseni manjak podmiriti do kraja proračunske godine, obvezni su izraditi višegodišnji plan uravnoteženja za razdoblje za koje se proračun odnosno financijski plan donosi. U prethodnim godinama izrada višegodišnjeg plana uravnoteženja nije bila propisana. </w:t>
      </w:r>
    </w:p>
    <w:p w14:paraId="10B4D1B4" w14:textId="77777777" w:rsidR="00B8467B" w:rsidRPr="00B8467B" w:rsidRDefault="00B8467B" w:rsidP="00B8467B">
      <w:pPr>
        <w:rPr>
          <w:rFonts w:ascii="Calibri" w:eastAsia="Times New Roman" w:hAnsi="Calibri" w:cs="Calibri"/>
          <w:color w:val="000000"/>
          <w:lang w:eastAsia="hr-HR"/>
        </w:rPr>
      </w:pPr>
    </w:p>
    <w:p w14:paraId="03DD9154"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 xml:space="preserve">Usvajanje prijedloga financijskog plana od strane upravljačkih tijela kod proračunskih i izvanproračunskih korisnika </w:t>
      </w:r>
    </w:p>
    <w:p w14:paraId="661CFA1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Članak 38. stavak 2. i članak 39. stavak 2. propisuje da je čelnik proračunskog i izvanproračunskog korisnika prije dostave prijedloga financijskog plana isti obvezan uputiti nadležnom upravnom tijelu na usvajanje, ako je primjenjivo, u skladu s aktima kojima je uređen rad proračunskog, odnosno izvanproračunskog korisnika. </w:t>
      </w:r>
    </w:p>
    <w:p w14:paraId="00B21AA6" w14:textId="77777777" w:rsidR="00B8467B" w:rsidRPr="00B8467B" w:rsidRDefault="00B8467B" w:rsidP="00B8467B">
      <w:pPr>
        <w:rPr>
          <w:rFonts w:ascii="Calibri" w:eastAsia="Times New Roman" w:hAnsi="Calibri" w:cs="Calibri"/>
          <w:color w:val="000000"/>
          <w:lang w:eastAsia="hr-HR"/>
        </w:rPr>
      </w:pPr>
    </w:p>
    <w:p w14:paraId="4BB4F5D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Ako postoje razlike u financijskom planu </w:t>
      </w:r>
      <w:r w:rsidRPr="00B8467B">
        <w:rPr>
          <w:rFonts w:ascii="Calibri" w:eastAsia="Times New Roman" w:hAnsi="Calibri" w:cs="Calibri"/>
          <w:b/>
          <w:bCs/>
          <w:color w:val="000000"/>
          <w:lang w:eastAsia="hr-HR"/>
        </w:rPr>
        <w:t xml:space="preserve">proračunskog korisnika </w:t>
      </w:r>
      <w:r w:rsidRPr="00B8467B">
        <w:rPr>
          <w:rFonts w:ascii="Calibri" w:eastAsia="Times New Roman" w:hAnsi="Calibri" w:cs="Calibri"/>
          <w:color w:val="000000"/>
          <w:lang w:eastAsia="hr-HR"/>
        </w:rPr>
        <w:t xml:space="preserve">sadržanom u proračunu koji je usvojilo predstavničko tijelo u odnosu na već usvojeni prijedlog financijskog plana od strane upravljačkog tijela, upravljačko tijelo usvaja financijski plan koji je sadržan u proračunu koji je usvojilo predstavničko tijelo. </w:t>
      </w:r>
    </w:p>
    <w:p w14:paraId="784756DF" w14:textId="77777777" w:rsidR="00B8467B" w:rsidRPr="00B8467B" w:rsidRDefault="00B8467B" w:rsidP="00B8467B">
      <w:pPr>
        <w:rPr>
          <w:rFonts w:ascii="Calibri" w:eastAsia="Times New Roman" w:hAnsi="Calibri" w:cs="Calibri"/>
          <w:color w:val="000000"/>
          <w:lang w:eastAsia="hr-HR"/>
        </w:rPr>
      </w:pPr>
    </w:p>
    <w:p w14:paraId="63DCAFA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Ako postoje razlike u financijskom planu </w:t>
      </w:r>
      <w:r w:rsidRPr="00B8467B">
        <w:rPr>
          <w:rFonts w:ascii="Calibri" w:eastAsia="Times New Roman" w:hAnsi="Calibri" w:cs="Calibri"/>
          <w:b/>
          <w:bCs/>
          <w:color w:val="000000"/>
          <w:lang w:eastAsia="hr-HR"/>
        </w:rPr>
        <w:t>izvanproračunskog korisnika</w:t>
      </w:r>
      <w:r w:rsidRPr="00B8467B">
        <w:rPr>
          <w:rFonts w:ascii="Calibri" w:eastAsia="Times New Roman" w:hAnsi="Calibri" w:cs="Calibri"/>
          <w:color w:val="000000"/>
          <w:lang w:eastAsia="hr-HR"/>
        </w:rPr>
        <w:t xml:space="preserve"> na koji je predstavničko tijelo dalo suglasnost u odnosu na već usvojeni prijedlog financijskog plana od strane upravljačkog tijela, upravljačko tijelo usvaja financijski plan na koji je predstavničko tijelo dalo suglasnost. </w:t>
      </w:r>
    </w:p>
    <w:p w14:paraId="244BA99B" w14:textId="77777777" w:rsidR="00B8467B" w:rsidRPr="00B8467B" w:rsidRDefault="00B8467B" w:rsidP="00B8467B">
      <w:pPr>
        <w:rPr>
          <w:rFonts w:ascii="Calibri" w:eastAsia="Times New Roman" w:hAnsi="Calibri" w:cs="Calibri"/>
          <w:color w:val="000000"/>
          <w:lang w:eastAsia="hr-HR"/>
        </w:rPr>
      </w:pPr>
    </w:p>
    <w:p w14:paraId="05B67687"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 xml:space="preserve">Obrazloženje – sastavni dio proračuna i financijskog plana </w:t>
      </w:r>
    </w:p>
    <w:p w14:paraId="43EDDD0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Članak 36. propisuje obvezu i proračunskim i izvanproračunskim korisnicima za izradu obrazloženja i to </w:t>
      </w:r>
      <w:r w:rsidRPr="00B8467B">
        <w:rPr>
          <w:rFonts w:ascii="Calibri" w:eastAsia="Times New Roman" w:hAnsi="Calibri" w:cs="Calibri"/>
          <w:b/>
          <w:bCs/>
          <w:color w:val="000000"/>
          <w:lang w:eastAsia="hr-HR"/>
        </w:rPr>
        <w:t>obrazloženje uz opći dio financijskog plana i obrazloženje uz posebni dio financijskog plana</w:t>
      </w:r>
      <w:r w:rsidRPr="00B8467B">
        <w:rPr>
          <w:rFonts w:ascii="Calibri" w:eastAsia="Times New Roman" w:hAnsi="Calibri" w:cs="Calibri"/>
          <w:color w:val="000000"/>
          <w:lang w:eastAsia="hr-HR"/>
        </w:rPr>
        <w:t xml:space="preserve">, a koji su postali sastavni dio proračuna /financijskog plana. </w:t>
      </w:r>
    </w:p>
    <w:p w14:paraId="17443F8A" w14:textId="77777777" w:rsidR="00B8467B" w:rsidRPr="00B8467B" w:rsidRDefault="00B8467B" w:rsidP="00B8467B">
      <w:pPr>
        <w:rPr>
          <w:rFonts w:ascii="Calibri" w:eastAsia="Times New Roman" w:hAnsi="Calibri" w:cs="Calibri"/>
          <w:color w:val="000000"/>
          <w:lang w:eastAsia="hr-HR"/>
        </w:rPr>
      </w:pPr>
    </w:p>
    <w:p w14:paraId="3046523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Transparentnost proračuna – zakonska obveza </w:t>
      </w:r>
    </w:p>
    <w:p w14:paraId="14CE0EC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Zakonom je propisana obveza objave dokumenata i informacija o trošenju sredstava sukladno članku 144.</w:t>
      </w:r>
    </w:p>
    <w:p w14:paraId="401ADF7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 Obveza se odnosi na objavu:</w:t>
      </w:r>
    </w:p>
    <w:p w14:paraId="61FB778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 proračuna i izmjena i dopuna proračuna, odluka o privremenom financiranju, odluka o izvršavanju proračuna, financijski planovi i izmjene i dopune financijskog plana izvanproračunskog korisnika, polugodišnji i godišnji izvještaj o izvršenju proračuna te polugodišnji i godišnji izvještaj o izvršenju financijskog plana izvanproračunskog korisnika – </w:t>
      </w:r>
    </w:p>
    <w:p w14:paraId="0726333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opći i posebni dio proračuna, odluka o izvršavanju proračuna, izmjene i dopune proračuna, odluka o izvršavanju proračuna, odluka o privremenom financiranju te opći i posebni dio polugodišnjeg i godišnjeg izvještaja o izvršavanju proračuna </w:t>
      </w:r>
      <w:r w:rsidRPr="00B8467B">
        <w:rPr>
          <w:rFonts w:ascii="Calibri" w:eastAsia="Times New Roman" w:hAnsi="Calibri" w:cs="Calibri"/>
          <w:b/>
          <w:bCs/>
          <w:color w:val="000000"/>
          <w:lang w:eastAsia="hr-HR"/>
        </w:rPr>
        <w:t>objavljuje se u službenom glasil</w:t>
      </w:r>
      <w:r w:rsidRPr="00B8467B">
        <w:rPr>
          <w:rFonts w:ascii="Calibri" w:eastAsia="Times New Roman" w:hAnsi="Calibri" w:cs="Calibri"/>
          <w:color w:val="000000"/>
          <w:lang w:eastAsia="hr-HR"/>
        </w:rPr>
        <w:t xml:space="preserve">u. </w:t>
      </w:r>
    </w:p>
    <w:p w14:paraId="5F879A6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vodiča za građane o proračunu, izmjenama i dopunama proračuna te polugodišnjem i godišnjem izvještaju o izvršenju proračuna objavljuje se na mrežnim stranicama županije. </w:t>
      </w:r>
    </w:p>
    <w:p w14:paraId="703B179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Obveza za proračunske korisnike odnosi se na objavu dokumenata na svojim mrežnim stranicama, odnosno mrežnim stranicama županije ako proračunski korisnik nema svoje mrežne stranice i to: </w:t>
      </w:r>
    </w:p>
    <w:p w14:paraId="2604E23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financijskog plana i izmjene i dopune financijskog plana </w:t>
      </w:r>
    </w:p>
    <w:p w14:paraId="2466E9E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lastRenderedPageBreak/>
        <w:t xml:space="preserve">- polugodišnji i godišnji izvještaj o izvršenju financijskog plana proračunskog korisnika • Osim toga propisuje za izvanproračunskog korisnika objavu: </w:t>
      </w:r>
    </w:p>
    <w:p w14:paraId="1B27931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općeg i posebnog dijela polugodišnjeg i godišnjeg izvještaja o izvršenju financijskog plana izvanproračunskog korisnika u službenom glasilu. </w:t>
      </w:r>
    </w:p>
    <w:p w14:paraId="58439DB8" w14:textId="77777777" w:rsidR="00B8467B" w:rsidRPr="00B8467B" w:rsidRDefault="00B8467B" w:rsidP="00B8467B">
      <w:pPr>
        <w:rPr>
          <w:rFonts w:ascii="Calibri" w:eastAsia="Times New Roman" w:hAnsi="Calibri" w:cs="Calibri"/>
          <w:color w:val="000000"/>
          <w:lang w:eastAsia="hr-HR"/>
        </w:rPr>
      </w:pPr>
    </w:p>
    <w:p w14:paraId="3506820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b/>
          <w:bCs/>
          <w:color w:val="000000"/>
          <w:lang w:eastAsia="hr-HR"/>
        </w:rPr>
        <w:t>Predlaganje amandmana na proračun JLP/R/S i financijske planove izvanproračunskih korisnika JLP/R/S</w:t>
      </w:r>
      <w:r w:rsidRPr="00B8467B">
        <w:rPr>
          <w:rFonts w:ascii="Calibri" w:eastAsia="Times New Roman" w:hAnsi="Calibri" w:cs="Calibri"/>
          <w:color w:val="000000"/>
          <w:lang w:eastAsia="hr-HR"/>
        </w:rPr>
        <w:t xml:space="preserve"> </w:t>
      </w:r>
    </w:p>
    <w:p w14:paraId="55B7D6E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Članak 41. detaljno uređuje predlaganje amandmana na način da se mogu podnositi amandmani kojima se predlaže: </w:t>
      </w:r>
    </w:p>
    <w:p w14:paraId="08BC663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povećanje proračunskih rashoda iznad iznosa utvrđenih prijedlogom proračuna županije i financijskim planom izvanproračunskog korisnika pod uvjetom da se istodobno predloži smanjenje drugih rashoda </w:t>
      </w:r>
      <w:r w:rsidRPr="00B8467B">
        <w:rPr>
          <w:rFonts w:ascii="Calibri" w:eastAsia="Times New Roman" w:hAnsi="Calibri" w:cs="Calibri"/>
          <w:b/>
          <w:bCs/>
          <w:color w:val="000000"/>
          <w:lang w:eastAsia="hr-HR"/>
        </w:rPr>
        <w:t>u istom iznosu i unutar istih izvora financiranja</w:t>
      </w:r>
      <w:r w:rsidRPr="00B8467B">
        <w:rPr>
          <w:rFonts w:ascii="Calibri" w:eastAsia="Times New Roman" w:hAnsi="Calibri" w:cs="Calibri"/>
          <w:color w:val="000000"/>
          <w:lang w:eastAsia="hr-HR"/>
        </w:rPr>
        <w:t xml:space="preserve"> u posebnom dijelu proračuna ili financijskog plana i </w:t>
      </w:r>
    </w:p>
    <w:p w14:paraId="3EAAF17A"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povećanje proračunskih izdataka iznad iznosa utvrđenih prijedlogom proračuna županije i financijskim planom izvanproračunskog korisnika pod uvjetom da se istodobno predloži smanjenje drugih izdataka </w:t>
      </w:r>
      <w:r w:rsidRPr="00B8467B">
        <w:rPr>
          <w:rFonts w:ascii="Calibri" w:eastAsia="Times New Roman" w:hAnsi="Calibri" w:cs="Calibri"/>
          <w:b/>
          <w:bCs/>
          <w:color w:val="000000"/>
          <w:lang w:eastAsia="hr-HR"/>
        </w:rPr>
        <w:t>u istom iznosu i unutar istih izvora financiranja</w:t>
      </w:r>
      <w:r w:rsidRPr="00B8467B">
        <w:rPr>
          <w:rFonts w:ascii="Calibri" w:eastAsia="Times New Roman" w:hAnsi="Calibri" w:cs="Calibri"/>
          <w:color w:val="000000"/>
          <w:lang w:eastAsia="hr-HR"/>
        </w:rPr>
        <w:t xml:space="preserve"> u posebnom dijelu proračuna ili financijskog plana</w:t>
      </w:r>
    </w:p>
    <w:p w14:paraId="3EFE9B7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Prijedlozima amandmana ne smiju se mijenjati predviđeni manjak, odnosno višak utvrđen u prijedlogu proračuna, odnosno financijskom planu, te ne smiju biti na teret proračunske zalihe, na teret dodatnog zaduživanja ili prije preuzetih obveza. </w:t>
      </w:r>
    </w:p>
    <w:p w14:paraId="489E8B94" w14:textId="77777777" w:rsidR="00B8467B" w:rsidRPr="00B8467B" w:rsidRDefault="00B8467B" w:rsidP="00B8467B">
      <w:pPr>
        <w:rPr>
          <w:rFonts w:ascii="Calibri" w:eastAsia="Times New Roman" w:hAnsi="Calibri" w:cs="Calibri"/>
          <w:color w:val="000000"/>
          <w:lang w:eastAsia="hr-HR"/>
        </w:rPr>
      </w:pPr>
    </w:p>
    <w:p w14:paraId="055D8FD3" w14:textId="77777777" w:rsidR="00B8467B" w:rsidRPr="00B8467B" w:rsidRDefault="00B8467B" w:rsidP="00B8467B">
      <w:pPr>
        <w:rPr>
          <w:rFonts w:ascii="Calibri" w:eastAsia="Times New Roman" w:hAnsi="Calibri" w:cs="Calibri"/>
          <w:color w:val="000000"/>
          <w:lang w:eastAsia="hr-HR"/>
        </w:rPr>
      </w:pPr>
      <w:bookmarkStart w:id="4" w:name="_Toc206054323"/>
      <w:r w:rsidRPr="00B8467B">
        <w:rPr>
          <w:rFonts w:ascii="Calibri" w:eastAsia="Times New Roman" w:hAnsi="Calibri" w:cs="Calibri"/>
          <w:color w:val="000000"/>
          <w:lang w:eastAsia="hr-HR"/>
        </w:rPr>
        <w:t>4. OPIS PLANIRANIH POLITIKA OPĆINE NUŠTAR</w:t>
      </w:r>
      <w:bookmarkEnd w:id="4"/>
    </w:p>
    <w:p w14:paraId="71634A12" w14:textId="77777777" w:rsidR="00B8467B" w:rsidRPr="00B8467B" w:rsidRDefault="00B8467B" w:rsidP="00B8467B">
      <w:pPr>
        <w:rPr>
          <w:rFonts w:ascii="Calibri" w:eastAsia="Times New Roman" w:hAnsi="Calibri" w:cs="Calibri"/>
          <w:color w:val="000000"/>
          <w:lang w:eastAsia="hr-HR"/>
        </w:rPr>
      </w:pPr>
    </w:p>
    <w:p w14:paraId="091D8C2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Općina Nuštar će temeljem raspoloživih ljudskih, materijalnih i financijskih resursa provoditi politiku osiguranja uvjeta za gospodarski i društveni razvoj, kvalitetu stanovanja i života koristeći svoje prednosti za razvoj u modernu sredinu. Mjere i aktivnosti precizirane su Planom razvoja Općine NUŠTAR kao srednjoročnog strateškog dokumenta, a sve prema Nacionalnoj razvojnoj strategiji Republike Hrvatske do 2030. godine. </w:t>
      </w:r>
    </w:p>
    <w:p w14:paraId="4D957D9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Općina Nuštar po svom teritorijalnom sastavu pripada potpomognutom području. U Nacionalnoj razvojnoj strategiji Republike Hrvatske do 2030. godine Općina se prepoznaje unutar razvojnog smjera 4. Ravnomjeran regionalni razvoj, kroz strateški cilj 12. Razvoj potpomognutih područja i područja s razvojnim posebnostima, prioritetno područje Razvoj potpomognutih i brdsko planinskih područja. Pozivajući se na navedeno Općina Nuštar u svom provedbenom programu ima 4 prioriteta i pripadajuće im mjere za postizanje posebnih ciljeva. </w:t>
      </w:r>
    </w:p>
    <w:p w14:paraId="7AFF0AA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Proračun Općine Nuštar (plan razvojnih programa) temelji se na slijedećim ciljevima: PRIORITETNI CILJ 1 </w:t>
      </w:r>
    </w:p>
    <w:p w14:paraId="25478BF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POTICANJE ODRŽIVOG GOSPODARSKOG RAZVOJA </w:t>
      </w:r>
    </w:p>
    <w:p w14:paraId="44D2707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Mjera 1.1. ‐ Poticanje održivog razvoja turizma visoke kvalitete(dvorac Khuen Belassi)  </w:t>
      </w:r>
    </w:p>
    <w:p w14:paraId="5831028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Mjera 1.2. ‐ Poticanje malog i srednjeg poduzetništva</w:t>
      </w:r>
    </w:p>
    <w:p w14:paraId="6B3B06E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Mjera 1.3. ‐ Unaprjeđenje poduzetničkog okruženja razvojem poslovne zone </w:t>
      </w:r>
    </w:p>
    <w:p w14:paraId="5285A509" w14:textId="77777777" w:rsidR="00B8467B" w:rsidRPr="00B8467B" w:rsidRDefault="00B8467B" w:rsidP="00B8467B">
      <w:pPr>
        <w:rPr>
          <w:rFonts w:ascii="Calibri" w:eastAsia="Times New Roman" w:hAnsi="Calibri" w:cs="Calibri"/>
          <w:color w:val="000000"/>
          <w:lang w:eastAsia="hr-HR"/>
        </w:rPr>
      </w:pPr>
    </w:p>
    <w:p w14:paraId="6C193CAF" w14:textId="77777777" w:rsidR="00B8467B" w:rsidRPr="00B8467B" w:rsidRDefault="00B8467B" w:rsidP="00B8467B">
      <w:pPr>
        <w:rPr>
          <w:rFonts w:ascii="Calibri" w:eastAsia="Times New Roman" w:hAnsi="Calibri" w:cs="Calibri"/>
          <w:color w:val="000000"/>
          <w:lang w:eastAsia="hr-HR"/>
        </w:rPr>
      </w:pPr>
    </w:p>
    <w:p w14:paraId="1F39ED6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PRIORITETNI CILJ 2 </w:t>
      </w:r>
    </w:p>
    <w:p w14:paraId="0C563F2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PODIZANJE KVALITETE SUVREMENE INFRASTRUKTURE UZ OČUVANJE I ZAŠTITU OKOLIŠA </w:t>
      </w:r>
    </w:p>
    <w:p w14:paraId="63C1526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Mjera 2.1. ‐ Razvoj i modernizacija komunalne i prometne infrastrukture </w:t>
      </w:r>
    </w:p>
    <w:p w14:paraId="0A82D25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Mjera 2.2. ‐ Razvoj i uspostavljanje održivog sustava vodoopskrbe i odvodnje</w:t>
      </w:r>
    </w:p>
    <w:p w14:paraId="57CD4CA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Mjera 2.3. ‐ Uspostava cjelovitog sustava gospodarenja otpadom</w:t>
      </w:r>
    </w:p>
    <w:p w14:paraId="7A02306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Mjera 2.4. – Uređenje naselja i stanovanje </w:t>
      </w:r>
    </w:p>
    <w:p w14:paraId="4106DC4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Mjera 2.5. ‐ Učinkovito upravljanje prostorom i imovinom </w:t>
      </w:r>
    </w:p>
    <w:p w14:paraId="3F3E082E" w14:textId="77777777" w:rsidR="00B8467B" w:rsidRPr="00B8467B" w:rsidRDefault="00B8467B" w:rsidP="00B8467B">
      <w:pPr>
        <w:rPr>
          <w:rFonts w:ascii="Calibri" w:eastAsia="Times New Roman" w:hAnsi="Calibri" w:cs="Calibri"/>
          <w:color w:val="000000"/>
          <w:lang w:eastAsia="hr-HR"/>
        </w:rPr>
      </w:pPr>
    </w:p>
    <w:p w14:paraId="49CCABD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PRIORITETNI CILJ 3 </w:t>
      </w:r>
    </w:p>
    <w:p w14:paraId="4BEA57B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STVARANJE PREDUVJETA ZA DRUŠTVENI RAZVOJ ZAJEDNICE S CILJEM ZDRAVOG, AKTIVNOG I KVALITETNOG ŽIVOTA </w:t>
      </w:r>
    </w:p>
    <w:p w14:paraId="7833C8D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Mjera 3.1. ‐ Modernizacija i unaprjeđenje odgojne i obrazovne infrastrukture </w:t>
      </w:r>
    </w:p>
    <w:p w14:paraId="75ABE2B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Mjera 3.2. ‐ Demografija i briga o djeci </w:t>
      </w:r>
    </w:p>
    <w:p w14:paraId="5E26BE1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lastRenderedPageBreak/>
        <w:t xml:space="preserve">- Mjera 3.3. ‐ Modernizacija zdravstvenih i socijalnih usluga </w:t>
      </w:r>
    </w:p>
    <w:p w14:paraId="0F571FD9"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Mjera 3.4. - Razvoj društvenog i kulturnog (sportskog) života i infrastrukture </w:t>
      </w:r>
    </w:p>
    <w:p w14:paraId="1C6D70B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Mjera 3.5. - Povećanje sigurnosti lokalne zajednice </w:t>
      </w:r>
    </w:p>
    <w:p w14:paraId="2D8B099C" w14:textId="77777777" w:rsidR="00B8467B" w:rsidRPr="00B8467B" w:rsidRDefault="00B8467B" w:rsidP="00B8467B">
      <w:pPr>
        <w:rPr>
          <w:rFonts w:ascii="Calibri" w:eastAsia="Times New Roman" w:hAnsi="Calibri" w:cs="Calibri"/>
          <w:color w:val="000000"/>
          <w:lang w:eastAsia="hr-HR"/>
        </w:rPr>
      </w:pPr>
    </w:p>
    <w:p w14:paraId="49FC5E5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PRIORITETNI CILJ 4 </w:t>
      </w:r>
    </w:p>
    <w:p w14:paraId="71BB2F8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SUSTAVNO ULAGANJE U DIGITALIZACIJU I ZELENU TRANZICIJU UZ ODRŽAVANJE TRANSPARENTNE REDOVNE DJELATNOSTI</w:t>
      </w:r>
    </w:p>
    <w:p w14:paraId="351C242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Mjera 4.1. ‐ Digitalizacija </w:t>
      </w:r>
    </w:p>
    <w:p w14:paraId="13A4477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Mjera 4.2. ‐ Poticanje korištenja obnovljivih izvora energije </w:t>
      </w:r>
    </w:p>
    <w:p w14:paraId="20572CE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Mjera 4.3. – Djelovanje lokalne uprave i administracije</w:t>
      </w:r>
    </w:p>
    <w:p w14:paraId="4B634182" w14:textId="77777777" w:rsidR="00B8467B" w:rsidRPr="00B8467B" w:rsidRDefault="00B8467B" w:rsidP="00B8467B">
      <w:pPr>
        <w:rPr>
          <w:rFonts w:ascii="Calibri" w:eastAsia="Times New Roman" w:hAnsi="Calibri" w:cs="Calibri"/>
          <w:color w:val="000000"/>
          <w:lang w:eastAsia="hr-HR"/>
        </w:rPr>
      </w:pPr>
    </w:p>
    <w:p w14:paraId="39D50805" w14:textId="77777777" w:rsidR="00B8467B" w:rsidRPr="00B8467B" w:rsidRDefault="00B8467B" w:rsidP="00B8467B">
      <w:pPr>
        <w:rPr>
          <w:rFonts w:ascii="Calibri" w:eastAsia="Times New Roman" w:hAnsi="Calibri" w:cs="Calibri"/>
          <w:color w:val="000000"/>
          <w:lang w:eastAsia="hr-HR"/>
        </w:rPr>
      </w:pPr>
      <w:bookmarkStart w:id="5" w:name="_Toc206054324"/>
      <w:r w:rsidRPr="00B8467B">
        <w:rPr>
          <w:rFonts w:ascii="Calibri" w:eastAsia="Times New Roman" w:hAnsi="Calibri" w:cs="Calibri"/>
          <w:color w:val="000000"/>
          <w:lang w:eastAsia="hr-HR"/>
        </w:rPr>
        <w:t>5. PROCJENA PRIHODA I RASHODA, ODNOSNO PRIMITAKA I IZDATAKA PRORAČUNSKIH KORISNIKA OPĆINE NUŠTAR U RAZDOBLJU 2027. – 2029.G</w:t>
      </w:r>
      <w:bookmarkEnd w:id="5"/>
    </w:p>
    <w:p w14:paraId="3CA181F5" w14:textId="77777777" w:rsidR="00B8467B" w:rsidRPr="00B8467B" w:rsidRDefault="00B8467B" w:rsidP="00B8467B">
      <w:pPr>
        <w:rPr>
          <w:rFonts w:ascii="Calibri" w:eastAsia="Times New Roman" w:hAnsi="Calibri" w:cs="Calibri"/>
          <w:color w:val="000000"/>
          <w:lang w:eastAsia="hr-HR"/>
        </w:rPr>
      </w:pPr>
    </w:p>
    <w:p w14:paraId="1B035B3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Tablica 2. Izvršenje, plan i procjena</w:t>
      </w:r>
    </w:p>
    <w:tbl>
      <w:tblPr>
        <w:tblStyle w:val="Reetkatablice"/>
        <w:tblW w:w="0" w:type="auto"/>
        <w:tblLook w:val="04A0" w:firstRow="1" w:lastRow="0" w:firstColumn="1" w:lastColumn="0" w:noHBand="0" w:noVBand="1"/>
      </w:tblPr>
      <w:tblGrid>
        <w:gridCol w:w="3244"/>
        <w:gridCol w:w="1386"/>
        <w:gridCol w:w="1108"/>
        <w:gridCol w:w="1108"/>
        <w:gridCol w:w="1108"/>
        <w:gridCol w:w="1108"/>
      </w:tblGrid>
      <w:tr w:rsidR="00B8467B" w:rsidRPr="00B8467B" w14:paraId="13716085" w14:textId="77777777" w:rsidTr="007A31C6">
        <w:tc>
          <w:tcPr>
            <w:tcW w:w="3863" w:type="dxa"/>
          </w:tcPr>
          <w:p w14:paraId="6ACE095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PRIHODI I PRIMICI</w:t>
            </w:r>
          </w:p>
        </w:tc>
        <w:tc>
          <w:tcPr>
            <w:tcW w:w="1280" w:type="dxa"/>
          </w:tcPr>
          <w:p w14:paraId="7D4944B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Izvršenje 2025.</w:t>
            </w:r>
          </w:p>
        </w:tc>
        <w:tc>
          <w:tcPr>
            <w:tcW w:w="963" w:type="dxa"/>
          </w:tcPr>
          <w:p w14:paraId="7EDD1E5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Plan 2026.</w:t>
            </w:r>
          </w:p>
        </w:tc>
        <w:tc>
          <w:tcPr>
            <w:tcW w:w="985" w:type="dxa"/>
          </w:tcPr>
          <w:p w14:paraId="03E1693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Procjena 2027.</w:t>
            </w:r>
          </w:p>
        </w:tc>
        <w:tc>
          <w:tcPr>
            <w:tcW w:w="985" w:type="dxa"/>
          </w:tcPr>
          <w:p w14:paraId="798F123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Procjena 2028.</w:t>
            </w:r>
          </w:p>
        </w:tc>
        <w:tc>
          <w:tcPr>
            <w:tcW w:w="986" w:type="dxa"/>
          </w:tcPr>
          <w:p w14:paraId="00BAA5A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Procjena 2029.</w:t>
            </w:r>
          </w:p>
        </w:tc>
      </w:tr>
      <w:tr w:rsidR="00B8467B" w:rsidRPr="00B8467B" w14:paraId="6FD947AF" w14:textId="77777777" w:rsidTr="007A31C6">
        <w:tc>
          <w:tcPr>
            <w:tcW w:w="3863" w:type="dxa"/>
            <w:shd w:val="clear" w:color="auto" w:fill="F2F2F2" w:themeFill="background1" w:themeFillShade="F2"/>
          </w:tcPr>
          <w:p w14:paraId="7F907CE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Razdjel 001 OPĆINA NUŠTAR</w:t>
            </w:r>
          </w:p>
        </w:tc>
        <w:tc>
          <w:tcPr>
            <w:tcW w:w="1280" w:type="dxa"/>
            <w:shd w:val="clear" w:color="auto" w:fill="F2F2F2" w:themeFill="background1" w:themeFillShade="F2"/>
          </w:tcPr>
          <w:p w14:paraId="65154E53"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4.396.412,79</w:t>
            </w:r>
          </w:p>
        </w:tc>
        <w:tc>
          <w:tcPr>
            <w:tcW w:w="963" w:type="dxa"/>
            <w:shd w:val="clear" w:color="auto" w:fill="F2F2F2" w:themeFill="background1" w:themeFillShade="F2"/>
          </w:tcPr>
          <w:p w14:paraId="7D6AADA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7.325.700</w:t>
            </w:r>
          </w:p>
        </w:tc>
        <w:tc>
          <w:tcPr>
            <w:tcW w:w="985" w:type="dxa"/>
            <w:shd w:val="clear" w:color="auto" w:fill="F2F2F2" w:themeFill="background1" w:themeFillShade="F2"/>
          </w:tcPr>
          <w:p w14:paraId="0093CD6A" w14:textId="77777777" w:rsidR="00B8467B" w:rsidRPr="00B8467B" w:rsidRDefault="00B8467B" w:rsidP="00B8467B">
            <w:pPr>
              <w:rPr>
                <w:rFonts w:ascii="Calibri" w:eastAsia="Times New Roman" w:hAnsi="Calibri" w:cs="Calibri"/>
                <w:color w:val="000000"/>
                <w:lang w:eastAsia="hr-HR"/>
              </w:rPr>
            </w:pPr>
          </w:p>
        </w:tc>
        <w:tc>
          <w:tcPr>
            <w:tcW w:w="985" w:type="dxa"/>
            <w:shd w:val="clear" w:color="auto" w:fill="F2F2F2" w:themeFill="background1" w:themeFillShade="F2"/>
          </w:tcPr>
          <w:p w14:paraId="413BF968" w14:textId="77777777" w:rsidR="00B8467B" w:rsidRPr="00B8467B" w:rsidRDefault="00B8467B" w:rsidP="00B8467B">
            <w:pPr>
              <w:rPr>
                <w:rFonts w:ascii="Calibri" w:eastAsia="Times New Roman" w:hAnsi="Calibri" w:cs="Calibri"/>
                <w:color w:val="000000"/>
                <w:lang w:eastAsia="hr-HR"/>
              </w:rPr>
            </w:pPr>
          </w:p>
        </w:tc>
        <w:tc>
          <w:tcPr>
            <w:tcW w:w="986" w:type="dxa"/>
            <w:shd w:val="clear" w:color="auto" w:fill="F2F2F2" w:themeFill="background1" w:themeFillShade="F2"/>
          </w:tcPr>
          <w:p w14:paraId="34DBD077" w14:textId="77777777" w:rsidR="00B8467B" w:rsidRPr="00B8467B" w:rsidRDefault="00B8467B" w:rsidP="00B8467B">
            <w:pPr>
              <w:rPr>
                <w:rFonts w:ascii="Calibri" w:eastAsia="Times New Roman" w:hAnsi="Calibri" w:cs="Calibri"/>
                <w:color w:val="000000"/>
                <w:lang w:eastAsia="hr-HR"/>
              </w:rPr>
            </w:pPr>
          </w:p>
        </w:tc>
      </w:tr>
      <w:tr w:rsidR="00B8467B" w:rsidRPr="00B8467B" w14:paraId="06970085" w14:textId="77777777" w:rsidTr="007A31C6">
        <w:tc>
          <w:tcPr>
            <w:tcW w:w="3863" w:type="dxa"/>
            <w:shd w:val="clear" w:color="auto" w:fill="F2F2F2" w:themeFill="background1" w:themeFillShade="F2"/>
          </w:tcPr>
          <w:p w14:paraId="7D9FF85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Glava 00102 DJEČJI VRTIĆ "VRTULJAK"</w:t>
            </w:r>
          </w:p>
        </w:tc>
        <w:tc>
          <w:tcPr>
            <w:tcW w:w="1280" w:type="dxa"/>
            <w:shd w:val="clear" w:color="auto" w:fill="F2F2F2" w:themeFill="background1" w:themeFillShade="F2"/>
          </w:tcPr>
          <w:p w14:paraId="7D06ED8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465.259,02</w:t>
            </w:r>
          </w:p>
        </w:tc>
        <w:tc>
          <w:tcPr>
            <w:tcW w:w="963" w:type="dxa"/>
            <w:shd w:val="clear" w:color="auto" w:fill="F2F2F2" w:themeFill="background1" w:themeFillShade="F2"/>
          </w:tcPr>
          <w:p w14:paraId="0DD26E3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788.000</w:t>
            </w:r>
          </w:p>
        </w:tc>
        <w:tc>
          <w:tcPr>
            <w:tcW w:w="985" w:type="dxa"/>
            <w:shd w:val="clear" w:color="auto" w:fill="F2F2F2" w:themeFill="background1" w:themeFillShade="F2"/>
          </w:tcPr>
          <w:p w14:paraId="5CDB13AA"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1.173.000</w:t>
            </w:r>
          </w:p>
        </w:tc>
        <w:tc>
          <w:tcPr>
            <w:tcW w:w="985" w:type="dxa"/>
            <w:shd w:val="clear" w:color="auto" w:fill="F2F2F2" w:themeFill="background1" w:themeFillShade="F2"/>
          </w:tcPr>
          <w:p w14:paraId="5B8E38D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1.245.000</w:t>
            </w:r>
          </w:p>
        </w:tc>
        <w:tc>
          <w:tcPr>
            <w:tcW w:w="986" w:type="dxa"/>
            <w:shd w:val="clear" w:color="auto" w:fill="F2F2F2" w:themeFill="background1" w:themeFillShade="F2"/>
          </w:tcPr>
          <w:p w14:paraId="7A28B43A"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1.319.000</w:t>
            </w:r>
          </w:p>
        </w:tc>
      </w:tr>
      <w:tr w:rsidR="00B8467B" w:rsidRPr="00B8467B" w14:paraId="1E65466D" w14:textId="77777777" w:rsidTr="007A31C6">
        <w:tc>
          <w:tcPr>
            <w:tcW w:w="3863" w:type="dxa"/>
          </w:tcPr>
          <w:p w14:paraId="69FBB413"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Glavni program A01 Dječji vrtić</w:t>
            </w:r>
          </w:p>
        </w:tc>
        <w:tc>
          <w:tcPr>
            <w:tcW w:w="1280" w:type="dxa"/>
          </w:tcPr>
          <w:p w14:paraId="78381AD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465.259,02</w:t>
            </w:r>
          </w:p>
        </w:tc>
        <w:tc>
          <w:tcPr>
            <w:tcW w:w="963" w:type="dxa"/>
          </w:tcPr>
          <w:p w14:paraId="1B6B619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788.000</w:t>
            </w:r>
          </w:p>
        </w:tc>
        <w:tc>
          <w:tcPr>
            <w:tcW w:w="985" w:type="dxa"/>
          </w:tcPr>
          <w:p w14:paraId="018B6E1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1.173.000</w:t>
            </w:r>
          </w:p>
        </w:tc>
        <w:tc>
          <w:tcPr>
            <w:tcW w:w="985" w:type="dxa"/>
          </w:tcPr>
          <w:p w14:paraId="5D0C385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1.245.000</w:t>
            </w:r>
          </w:p>
        </w:tc>
        <w:tc>
          <w:tcPr>
            <w:tcW w:w="986" w:type="dxa"/>
          </w:tcPr>
          <w:p w14:paraId="38DA010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1.319.000</w:t>
            </w:r>
          </w:p>
        </w:tc>
      </w:tr>
      <w:tr w:rsidR="00B8467B" w:rsidRPr="00B8467B" w14:paraId="59AFCFCF" w14:textId="77777777" w:rsidTr="007A31C6">
        <w:tc>
          <w:tcPr>
            <w:tcW w:w="3863" w:type="dxa"/>
            <w:shd w:val="clear" w:color="auto" w:fill="F2F2F2" w:themeFill="background1" w:themeFillShade="F2"/>
          </w:tcPr>
          <w:p w14:paraId="2E4B8CE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Glava 00103 KNJIŽNICA I ČITAONICA SVETOG BENEDIKTA</w:t>
            </w:r>
          </w:p>
        </w:tc>
        <w:tc>
          <w:tcPr>
            <w:tcW w:w="1280" w:type="dxa"/>
            <w:shd w:val="clear" w:color="auto" w:fill="F2F2F2" w:themeFill="background1" w:themeFillShade="F2"/>
          </w:tcPr>
          <w:p w14:paraId="23685FF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50.943,59</w:t>
            </w:r>
          </w:p>
        </w:tc>
        <w:tc>
          <w:tcPr>
            <w:tcW w:w="963" w:type="dxa"/>
            <w:shd w:val="clear" w:color="auto" w:fill="F2F2F2" w:themeFill="background1" w:themeFillShade="F2"/>
          </w:tcPr>
          <w:p w14:paraId="76356FF9"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65.100</w:t>
            </w:r>
          </w:p>
        </w:tc>
        <w:tc>
          <w:tcPr>
            <w:tcW w:w="985" w:type="dxa"/>
            <w:shd w:val="clear" w:color="auto" w:fill="F2F2F2" w:themeFill="background1" w:themeFillShade="F2"/>
          </w:tcPr>
          <w:p w14:paraId="7B1591F9"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68.500</w:t>
            </w:r>
          </w:p>
        </w:tc>
        <w:tc>
          <w:tcPr>
            <w:tcW w:w="985" w:type="dxa"/>
            <w:shd w:val="clear" w:color="auto" w:fill="F2F2F2" w:themeFill="background1" w:themeFillShade="F2"/>
          </w:tcPr>
          <w:p w14:paraId="058DFAA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73.500</w:t>
            </w:r>
          </w:p>
        </w:tc>
        <w:tc>
          <w:tcPr>
            <w:tcW w:w="986" w:type="dxa"/>
            <w:shd w:val="clear" w:color="auto" w:fill="F2F2F2" w:themeFill="background1" w:themeFillShade="F2"/>
          </w:tcPr>
          <w:p w14:paraId="32D6135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80.000</w:t>
            </w:r>
          </w:p>
        </w:tc>
      </w:tr>
      <w:tr w:rsidR="00B8467B" w:rsidRPr="00B8467B" w14:paraId="77177AF9" w14:textId="77777777" w:rsidTr="007A31C6">
        <w:tc>
          <w:tcPr>
            <w:tcW w:w="3863" w:type="dxa"/>
          </w:tcPr>
          <w:p w14:paraId="48C419A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Glavni program A02 Knjižnica i čitaonica</w:t>
            </w:r>
          </w:p>
        </w:tc>
        <w:tc>
          <w:tcPr>
            <w:tcW w:w="1280" w:type="dxa"/>
          </w:tcPr>
          <w:p w14:paraId="261A0E1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50.943,59</w:t>
            </w:r>
          </w:p>
        </w:tc>
        <w:tc>
          <w:tcPr>
            <w:tcW w:w="963" w:type="dxa"/>
          </w:tcPr>
          <w:p w14:paraId="509C4993"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65.100</w:t>
            </w:r>
          </w:p>
        </w:tc>
        <w:tc>
          <w:tcPr>
            <w:tcW w:w="985" w:type="dxa"/>
          </w:tcPr>
          <w:p w14:paraId="16BF5A7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68.500</w:t>
            </w:r>
          </w:p>
        </w:tc>
        <w:tc>
          <w:tcPr>
            <w:tcW w:w="985" w:type="dxa"/>
          </w:tcPr>
          <w:p w14:paraId="45FEDE8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73.500</w:t>
            </w:r>
          </w:p>
        </w:tc>
        <w:tc>
          <w:tcPr>
            <w:tcW w:w="986" w:type="dxa"/>
          </w:tcPr>
          <w:p w14:paraId="5DAAA8B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80.000</w:t>
            </w:r>
          </w:p>
        </w:tc>
      </w:tr>
    </w:tbl>
    <w:p w14:paraId="5AD5A462" w14:textId="77777777" w:rsidR="00B8467B" w:rsidRPr="00B8467B" w:rsidRDefault="00B8467B" w:rsidP="00B8467B">
      <w:pPr>
        <w:rPr>
          <w:rFonts w:ascii="Calibri" w:eastAsia="Times New Roman" w:hAnsi="Calibri" w:cs="Calibri"/>
          <w:color w:val="000000"/>
          <w:lang w:eastAsia="hr-HR"/>
        </w:rPr>
      </w:pPr>
    </w:p>
    <w:p w14:paraId="51101C3E" w14:textId="77777777" w:rsidR="00B8467B" w:rsidRPr="00B8467B" w:rsidRDefault="00B8467B" w:rsidP="00B8467B">
      <w:pPr>
        <w:rPr>
          <w:rFonts w:ascii="Calibri" w:eastAsia="Times New Roman" w:hAnsi="Calibri" w:cs="Calibri"/>
          <w:color w:val="000000"/>
          <w:lang w:eastAsia="hr-HR"/>
        </w:rPr>
      </w:pPr>
    </w:p>
    <w:p w14:paraId="72184BCA" w14:textId="77777777" w:rsidR="00B8467B" w:rsidRPr="00B8467B" w:rsidRDefault="00B8467B" w:rsidP="00B8467B">
      <w:pPr>
        <w:rPr>
          <w:rFonts w:ascii="Calibri" w:eastAsia="Times New Roman" w:hAnsi="Calibri" w:cs="Calibri"/>
          <w:color w:val="000000"/>
          <w:lang w:eastAsia="hr-HR"/>
        </w:rPr>
      </w:pPr>
      <w:bookmarkStart w:id="6" w:name="_Toc206054325"/>
      <w:r w:rsidRPr="00B8467B">
        <w:rPr>
          <w:rFonts w:ascii="Calibri" w:eastAsia="Times New Roman" w:hAnsi="Calibri" w:cs="Calibri"/>
          <w:color w:val="000000"/>
          <w:lang w:eastAsia="hr-HR"/>
        </w:rPr>
        <w:t>6. METODOLOGIJA IZRADE PRIJEDLOGA FINANCIJSKOG PLANA PRORAČUNSKIH KORISNIKA OPĆINE NUŠTAR</w:t>
      </w:r>
      <w:bookmarkEnd w:id="6"/>
    </w:p>
    <w:p w14:paraId="29207959" w14:textId="77777777" w:rsidR="00B8467B" w:rsidRPr="00B8467B" w:rsidRDefault="00B8467B" w:rsidP="00B8467B">
      <w:pPr>
        <w:rPr>
          <w:rFonts w:ascii="Calibri" w:eastAsia="Times New Roman" w:hAnsi="Calibri" w:cs="Calibri"/>
          <w:color w:val="000000"/>
          <w:lang w:eastAsia="hr-HR"/>
        </w:rPr>
      </w:pPr>
    </w:p>
    <w:p w14:paraId="5DDC13A3"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Sukladno Zakonu o proračunu predstavničko tijelo jedinice lokalne i područne (regionalne) samouprave donosi proračun jedinice lokalne i područne (regionalne) samouprave za 2027. godinu na razini skupine (druga razina računskog plana), kao i projekcije za 2028. i 2029. godinu na razini skupine (druga razina računskog plana). Proračunski korisnici dužni su financijski plan izraditi po programskoj i ekonomskoj klasifikaciji i po izvorima financiranja. Općina NUŠTAR ima dva proračunska korisnika i to: Dječji vrtić Vrtuljak Nuštar i Narodnu knjižnicu i čitaonicu Sv. Benedikta </w:t>
      </w:r>
    </w:p>
    <w:p w14:paraId="5EEA38EB" w14:textId="77777777" w:rsidR="00B8467B" w:rsidRPr="00B8467B" w:rsidRDefault="00B8467B" w:rsidP="00B8467B">
      <w:pPr>
        <w:rPr>
          <w:rFonts w:ascii="Calibri" w:eastAsia="Times New Roman" w:hAnsi="Calibri" w:cs="Calibri"/>
          <w:color w:val="000000"/>
          <w:lang w:eastAsia="hr-HR"/>
        </w:rPr>
      </w:pPr>
    </w:p>
    <w:p w14:paraId="5A966E01" w14:textId="77777777" w:rsidR="00B8467B" w:rsidRPr="00B8467B" w:rsidRDefault="00B8467B" w:rsidP="00B8467B">
      <w:pPr>
        <w:rPr>
          <w:rFonts w:ascii="Calibri" w:eastAsia="Times New Roman" w:hAnsi="Calibri" w:cs="Calibri"/>
          <w:b/>
          <w:bCs/>
          <w:color w:val="000000"/>
          <w:lang w:eastAsia="hr-HR"/>
        </w:rPr>
      </w:pPr>
      <w:bookmarkStart w:id="7" w:name="_Toc206054326"/>
      <w:r w:rsidRPr="00B8467B">
        <w:rPr>
          <w:rFonts w:ascii="Calibri" w:eastAsia="Times New Roman" w:hAnsi="Calibri" w:cs="Calibri"/>
          <w:b/>
          <w:bCs/>
          <w:color w:val="000000"/>
          <w:lang w:eastAsia="hr-HR"/>
        </w:rPr>
        <w:t>6.1. Namjenski i vlastiti prihodi proračunskih korisnika</w:t>
      </w:r>
      <w:bookmarkEnd w:id="7"/>
    </w:p>
    <w:p w14:paraId="58070603" w14:textId="77777777" w:rsidR="00B8467B" w:rsidRPr="00B8467B" w:rsidRDefault="00B8467B" w:rsidP="00B8467B">
      <w:pPr>
        <w:rPr>
          <w:rFonts w:ascii="Calibri" w:eastAsia="Times New Roman" w:hAnsi="Calibri" w:cs="Calibri"/>
          <w:color w:val="000000"/>
          <w:lang w:eastAsia="hr-HR"/>
        </w:rPr>
      </w:pPr>
    </w:p>
    <w:p w14:paraId="207E7F4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Proračunski korisnik u financijskom planu treba iskazati sve svoje prihode i rashode bez obzira na uplate prihoda korisnika u proračun jedinice lokalne i područne (regionalne) samouprave ili podmirivanje rashoda korisnika izravno s računa proračuna. </w:t>
      </w:r>
    </w:p>
    <w:p w14:paraId="2FE586A2" w14:textId="77777777" w:rsidR="00B8467B" w:rsidRPr="00B8467B" w:rsidRDefault="00B8467B" w:rsidP="00B8467B">
      <w:pPr>
        <w:rPr>
          <w:rFonts w:ascii="Calibri" w:eastAsia="Times New Roman" w:hAnsi="Calibri" w:cs="Calibri"/>
          <w:color w:val="000000"/>
          <w:lang w:eastAsia="hr-HR"/>
        </w:rPr>
      </w:pPr>
    </w:p>
    <w:p w14:paraId="136AC567" w14:textId="77777777" w:rsidR="00B8467B" w:rsidRPr="00B8467B" w:rsidRDefault="00B8467B" w:rsidP="00B8467B">
      <w:pPr>
        <w:rPr>
          <w:rFonts w:ascii="Calibri" w:eastAsia="Times New Roman" w:hAnsi="Calibri" w:cs="Calibri"/>
          <w:b/>
          <w:bCs/>
          <w:color w:val="000000"/>
          <w:lang w:eastAsia="hr-HR"/>
        </w:rPr>
      </w:pPr>
      <w:bookmarkStart w:id="8" w:name="_Toc206054327"/>
      <w:r w:rsidRPr="00B8467B">
        <w:rPr>
          <w:rFonts w:ascii="Calibri" w:eastAsia="Times New Roman" w:hAnsi="Calibri" w:cs="Calibri"/>
          <w:b/>
          <w:bCs/>
          <w:color w:val="000000"/>
          <w:lang w:eastAsia="hr-HR"/>
        </w:rPr>
        <w:t>6.2. Primjena proračunskih klasifikacija</w:t>
      </w:r>
      <w:bookmarkEnd w:id="8"/>
    </w:p>
    <w:p w14:paraId="0223BE03" w14:textId="77777777" w:rsidR="00B8467B" w:rsidRPr="00B8467B" w:rsidRDefault="00B8467B" w:rsidP="00B8467B">
      <w:pPr>
        <w:rPr>
          <w:rFonts w:ascii="Calibri" w:eastAsia="Times New Roman" w:hAnsi="Calibri" w:cs="Calibri"/>
          <w:color w:val="000000"/>
          <w:lang w:eastAsia="hr-HR"/>
        </w:rPr>
      </w:pPr>
    </w:p>
    <w:p w14:paraId="303D386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Ekonomska klasifikacija prikaz je prihoda i primitaka po prirodnim vrstama te rashoda i izdataka prema ekonomskoj namjeni kojoj služe. Nazivi računa ne mogu se prilagođavati potrebama jedinica pod izgovorom veće transparentnosti jer je navedeno u suprotnosti s odredbama Pravilnika o proračunskom računovodstvu i Računskom planu. Pravilnikom o proračunskim klasifikacijama uređeno je da se programskom klasifikacijom definiraju programi, projekti (tekući i kapitalni) i aktivnosti u proračunu. Program se sastoji od jedne ili više aktivnosti (ili projekata), a aktivnost i projekt pripadaju samo jednom programu. </w:t>
      </w:r>
    </w:p>
    <w:p w14:paraId="37A9B3E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Proračunski korisnici dužni su planirati rashode u okviru planiranih programa, projekata i aktivnosti u okviru proračuna. U slučaju otvaranja novog programa, aktivnosti ili projekta potrebno je ishoditi suglasnost Općine, a uz zahtjev se dostavlja obrazloženje koje sadrži: cilj koje se želi postići, kao i </w:t>
      </w:r>
      <w:r w:rsidRPr="00B8467B">
        <w:rPr>
          <w:rFonts w:ascii="Calibri" w:eastAsia="Times New Roman" w:hAnsi="Calibri" w:cs="Calibri"/>
          <w:color w:val="000000"/>
          <w:lang w:eastAsia="hr-HR"/>
        </w:rPr>
        <w:lastRenderedPageBreak/>
        <w:t xml:space="preserve">procjenu sredstava potrebnih za njihovo uvođenje. Proračunski korisnik obvezan je izraditi financijski plan po izvorima financiranja. Izvori financiranja predstavljaju skupinu prihoda i primitaka iz kojih se podmiruju rashodi i izdaci određene vrste i utvrđene namjene. Osnovni izvori financiranja su: </w:t>
      </w:r>
    </w:p>
    <w:p w14:paraId="0468097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1. Opći prihodi i primici </w:t>
      </w:r>
    </w:p>
    <w:p w14:paraId="263F5AC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2. Vlastiti prihodi </w:t>
      </w:r>
    </w:p>
    <w:p w14:paraId="6789F0C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3. Prihodi za posebne namjene </w:t>
      </w:r>
    </w:p>
    <w:p w14:paraId="31E82CB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4. Pomoći </w:t>
      </w:r>
    </w:p>
    <w:p w14:paraId="3308111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5. Donacije </w:t>
      </w:r>
    </w:p>
    <w:p w14:paraId="57848A6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6. Prihodi od prodaje ili zamjene nefinancijske imovine i naknade s naslova osiguranja </w:t>
      </w:r>
    </w:p>
    <w:p w14:paraId="12BF671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7. Namjenski primici </w:t>
      </w:r>
    </w:p>
    <w:p w14:paraId="53E2C1F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Sve je više slučajeva u kojima jedinica planira provedbu EU projekta za koji treba osigurati predfinanciranje iz svojih općih ili namjenskih prihoda i primitaka ili vlastitih prihoda, a naknadno će dobiti refundaciju sredstava od EU (putem provedbenih tijela u RH ili iz drugih zemalja članica). Preporuka je Ministarstva financija u planu proračuna otvoriti poseban podizvor u okviru izvora iz kojega će se planirati predfinanciranje EU projekata. </w:t>
      </w:r>
    </w:p>
    <w:p w14:paraId="3D38B837" w14:textId="77777777" w:rsidR="00B8467B" w:rsidRPr="00B8467B" w:rsidRDefault="00B8467B" w:rsidP="00B8467B">
      <w:pPr>
        <w:rPr>
          <w:rFonts w:ascii="Calibri" w:eastAsia="Times New Roman" w:hAnsi="Calibri" w:cs="Calibri"/>
          <w:color w:val="000000"/>
          <w:lang w:eastAsia="hr-HR"/>
        </w:rPr>
      </w:pPr>
    </w:p>
    <w:p w14:paraId="43FFDD63" w14:textId="77777777" w:rsidR="00B8467B" w:rsidRPr="00B8467B" w:rsidRDefault="00B8467B" w:rsidP="00B8467B">
      <w:pPr>
        <w:rPr>
          <w:rFonts w:ascii="Calibri" w:eastAsia="Times New Roman" w:hAnsi="Calibri" w:cs="Calibri"/>
          <w:b/>
          <w:bCs/>
          <w:color w:val="000000"/>
          <w:lang w:eastAsia="hr-HR"/>
        </w:rPr>
      </w:pPr>
      <w:bookmarkStart w:id="9" w:name="_Toc206054328"/>
      <w:r w:rsidRPr="00B8467B">
        <w:rPr>
          <w:rFonts w:ascii="Calibri" w:eastAsia="Times New Roman" w:hAnsi="Calibri" w:cs="Calibri"/>
          <w:b/>
          <w:bCs/>
          <w:color w:val="000000"/>
          <w:lang w:eastAsia="hr-HR"/>
        </w:rPr>
        <w:t>6.3. Uključivanje viška / manjka iz prethodnih godina u financijski plan</w:t>
      </w:r>
      <w:bookmarkEnd w:id="9"/>
    </w:p>
    <w:p w14:paraId="49DCFCC6" w14:textId="77777777" w:rsidR="00B8467B" w:rsidRPr="00B8467B" w:rsidRDefault="00B8467B" w:rsidP="00B8467B">
      <w:pPr>
        <w:rPr>
          <w:rFonts w:ascii="Calibri" w:eastAsia="Times New Roman" w:hAnsi="Calibri" w:cs="Calibri"/>
          <w:color w:val="000000"/>
          <w:lang w:eastAsia="hr-HR"/>
        </w:rPr>
      </w:pPr>
    </w:p>
    <w:p w14:paraId="3DDA21A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Financijski plan proračunskog korisnika treba biti uravnotežen. Izuzev prihoda i rashoda (korisnici najčešće nemaju primitaka i izdataka), u financijski plan je potrebno uključiti i predviđeni manjak, odnosno višak prihoda te s navedenim bilančnim kategorijama postići uravnoteženje. Također je taj višak / manjak potrebno planirati i po izvorima. </w:t>
      </w:r>
    </w:p>
    <w:p w14:paraId="7449E8D1" w14:textId="77777777" w:rsidR="00B8467B" w:rsidRPr="00B8467B" w:rsidRDefault="00B8467B" w:rsidP="00B8467B">
      <w:pPr>
        <w:rPr>
          <w:rFonts w:ascii="Calibri" w:eastAsia="Times New Roman" w:hAnsi="Calibri" w:cs="Calibri"/>
          <w:b/>
          <w:bCs/>
          <w:color w:val="000000"/>
          <w:lang w:eastAsia="hr-HR"/>
        </w:rPr>
      </w:pPr>
    </w:p>
    <w:p w14:paraId="5275A25F" w14:textId="77777777" w:rsidR="00B8467B" w:rsidRPr="00B8467B" w:rsidRDefault="00B8467B" w:rsidP="00B8467B">
      <w:pPr>
        <w:rPr>
          <w:rFonts w:ascii="Calibri" w:eastAsia="Times New Roman" w:hAnsi="Calibri" w:cs="Calibri"/>
          <w:b/>
          <w:bCs/>
          <w:color w:val="000000"/>
          <w:lang w:eastAsia="hr-HR"/>
        </w:rPr>
      </w:pPr>
      <w:bookmarkStart w:id="10" w:name="_Toc206054329"/>
      <w:r w:rsidRPr="00B8467B">
        <w:rPr>
          <w:rFonts w:ascii="Calibri" w:eastAsia="Times New Roman" w:hAnsi="Calibri" w:cs="Calibri"/>
          <w:b/>
          <w:bCs/>
          <w:color w:val="000000"/>
          <w:lang w:eastAsia="hr-HR"/>
        </w:rPr>
        <w:t>6.4 Sadržaj financijskog plana proračunskog korisnika</w:t>
      </w:r>
      <w:bookmarkEnd w:id="10"/>
    </w:p>
    <w:p w14:paraId="05E2E783" w14:textId="77777777" w:rsidR="00B8467B" w:rsidRPr="00B8467B" w:rsidRDefault="00B8467B" w:rsidP="00B8467B">
      <w:pPr>
        <w:rPr>
          <w:rFonts w:ascii="Calibri" w:eastAsia="Times New Roman" w:hAnsi="Calibri" w:cs="Calibri"/>
          <w:color w:val="000000"/>
          <w:lang w:eastAsia="hr-HR"/>
        </w:rPr>
      </w:pPr>
    </w:p>
    <w:p w14:paraId="6CD84DA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Tablica 3. Sadržaj financijskog plana proračunskog korisnika </w:t>
      </w:r>
    </w:p>
    <w:tbl>
      <w:tblPr>
        <w:tblStyle w:val="Reetkatablice"/>
        <w:tblW w:w="0" w:type="auto"/>
        <w:tblLook w:val="04A0" w:firstRow="1" w:lastRow="0" w:firstColumn="1" w:lastColumn="0" w:noHBand="0" w:noVBand="1"/>
      </w:tblPr>
      <w:tblGrid>
        <w:gridCol w:w="1387"/>
        <w:gridCol w:w="2941"/>
        <w:gridCol w:w="4734"/>
      </w:tblGrid>
      <w:tr w:rsidR="00B8467B" w:rsidRPr="00B8467B" w14:paraId="3F462342" w14:textId="77777777" w:rsidTr="007A31C6">
        <w:tc>
          <w:tcPr>
            <w:tcW w:w="1271" w:type="dxa"/>
          </w:tcPr>
          <w:p w14:paraId="4126E67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SADRŽAJ</w:t>
            </w:r>
          </w:p>
        </w:tc>
        <w:tc>
          <w:tcPr>
            <w:tcW w:w="2977" w:type="dxa"/>
          </w:tcPr>
          <w:p w14:paraId="0C634583"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SASTAVNI DIO</w:t>
            </w:r>
          </w:p>
        </w:tc>
        <w:tc>
          <w:tcPr>
            <w:tcW w:w="4814" w:type="dxa"/>
          </w:tcPr>
          <w:p w14:paraId="576E588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OPIS SASTAVNOG DIJELA</w:t>
            </w:r>
          </w:p>
        </w:tc>
      </w:tr>
      <w:tr w:rsidR="00B8467B" w:rsidRPr="00B8467B" w14:paraId="7769C029" w14:textId="77777777" w:rsidTr="007A31C6">
        <w:tc>
          <w:tcPr>
            <w:tcW w:w="1271" w:type="dxa"/>
            <w:vMerge w:val="restart"/>
          </w:tcPr>
          <w:p w14:paraId="00C35F0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Opći dio financijskog plana</w:t>
            </w:r>
          </w:p>
        </w:tc>
        <w:tc>
          <w:tcPr>
            <w:tcW w:w="2977" w:type="dxa"/>
          </w:tcPr>
          <w:p w14:paraId="6220CD3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Sažetak Računa prihoda i rashoda Sažetak Računa financiranja</w:t>
            </w:r>
          </w:p>
        </w:tc>
        <w:tc>
          <w:tcPr>
            <w:tcW w:w="4814" w:type="dxa"/>
          </w:tcPr>
          <w:p w14:paraId="1F6E33C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-ukupni prihodi poslovanja i prihodi od prodaje nefinancijske imovine, ukupni rashodi poslovanja i rashodi za nabavu nefinancijske imovine </w:t>
            </w:r>
          </w:p>
          <w:p w14:paraId="61C5AC2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-ukupni primici od financijske imovine i zaduživanja i izdaci za financijsku imovinu i otplate zajmova</w:t>
            </w:r>
          </w:p>
        </w:tc>
      </w:tr>
      <w:tr w:rsidR="00B8467B" w:rsidRPr="00B8467B" w14:paraId="1232E004" w14:textId="77777777" w:rsidTr="007A31C6">
        <w:tc>
          <w:tcPr>
            <w:tcW w:w="1271" w:type="dxa"/>
            <w:vMerge/>
          </w:tcPr>
          <w:p w14:paraId="2EFDD1FE" w14:textId="77777777" w:rsidR="00B8467B" w:rsidRPr="00B8467B" w:rsidRDefault="00B8467B" w:rsidP="00B8467B">
            <w:pPr>
              <w:rPr>
                <w:rFonts w:ascii="Calibri" w:eastAsia="Times New Roman" w:hAnsi="Calibri" w:cs="Calibri"/>
                <w:color w:val="000000"/>
                <w:lang w:eastAsia="hr-HR"/>
              </w:rPr>
            </w:pPr>
          </w:p>
        </w:tc>
        <w:tc>
          <w:tcPr>
            <w:tcW w:w="2977" w:type="dxa"/>
          </w:tcPr>
          <w:p w14:paraId="5A6DC2B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Račun prihoda i rashoda</w:t>
            </w:r>
          </w:p>
        </w:tc>
        <w:tc>
          <w:tcPr>
            <w:tcW w:w="4814" w:type="dxa"/>
          </w:tcPr>
          <w:p w14:paraId="3FD4686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-ukupni prihodi i rashodi iskazani prema izvorima financiranja i ekon. klasifikaciji na razini skupine</w:t>
            </w:r>
          </w:p>
          <w:p w14:paraId="52B5596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-ukupni rashodi iskazani prema funkcijskoj klasifikaciji</w:t>
            </w:r>
          </w:p>
        </w:tc>
      </w:tr>
      <w:tr w:rsidR="00B8467B" w:rsidRPr="00B8467B" w14:paraId="1D2D0AB4" w14:textId="77777777" w:rsidTr="007A31C6">
        <w:tc>
          <w:tcPr>
            <w:tcW w:w="1271" w:type="dxa"/>
            <w:vMerge/>
          </w:tcPr>
          <w:p w14:paraId="44C8C402" w14:textId="77777777" w:rsidR="00B8467B" w:rsidRPr="00B8467B" w:rsidRDefault="00B8467B" w:rsidP="00B8467B">
            <w:pPr>
              <w:rPr>
                <w:rFonts w:ascii="Calibri" w:eastAsia="Times New Roman" w:hAnsi="Calibri" w:cs="Calibri"/>
                <w:color w:val="000000"/>
                <w:lang w:eastAsia="hr-HR"/>
              </w:rPr>
            </w:pPr>
          </w:p>
        </w:tc>
        <w:tc>
          <w:tcPr>
            <w:tcW w:w="2977" w:type="dxa"/>
          </w:tcPr>
          <w:p w14:paraId="6514504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Račun financiranja</w:t>
            </w:r>
          </w:p>
        </w:tc>
        <w:tc>
          <w:tcPr>
            <w:tcW w:w="4814" w:type="dxa"/>
          </w:tcPr>
          <w:p w14:paraId="5759701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-ukupni primici od financijske imovine i zaduživanja i izdaci za financ. imovinu i otplate instrumenata zaduživanja prema izvorima financiranja i ekonomskoj klasifikaciji na razini skupine</w:t>
            </w:r>
          </w:p>
        </w:tc>
      </w:tr>
      <w:tr w:rsidR="00B8467B" w:rsidRPr="00B8467B" w14:paraId="4F9FDB52" w14:textId="77777777" w:rsidTr="007A31C6">
        <w:tc>
          <w:tcPr>
            <w:tcW w:w="1271" w:type="dxa"/>
            <w:vMerge/>
          </w:tcPr>
          <w:p w14:paraId="64005CA7" w14:textId="77777777" w:rsidR="00B8467B" w:rsidRPr="00B8467B" w:rsidRDefault="00B8467B" w:rsidP="00B8467B">
            <w:pPr>
              <w:rPr>
                <w:rFonts w:ascii="Calibri" w:eastAsia="Times New Roman" w:hAnsi="Calibri" w:cs="Calibri"/>
                <w:color w:val="000000"/>
                <w:lang w:eastAsia="hr-HR"/>
              </w:rPr>
            </w:pPr>
          </w:p>
        </w:tc>
        <w:tc>
          <w:tcPr>
            <w:tcW w:w="2977" w:type="dxa"/>
          </w:tcPr>
          <w:p w14:paraId="7CEF548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Preneseni višak ili preneseni manjak prihoda nad rashodima</w:t>
            </w:r>
          </w:p>
        </w:tc>
        <w:tc>
          <w:tcPr>
            <w:tcW w:w="4814" w:type="dxa"/>
          </w:tcPr>
          <w:p w14:paraId="048A7B1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-ako ukupni prihodi i primici nisu jednaki ukupnim rashodima i izdacima, financijski plan sadrži i preneseni višak ili preneseni manjak prihoda nad rashodima</w:t>
            </w:r>
          </w:p>
        </w:tc>
      </w:tr>
      <w:tr w:rsidR="00B8467B" w:rsidRPr="00B8467B" w14:paraId="1D3248D7" w14:textId="77777777" w:rsidTr="007A31C6">
        <w:tc>
          <w:tcPr>
            <w:tcW w:w="1271" w:type="dxa"/>
            <w:vMerge/>
          </w:tcPr>
          <w:p w14:paraId="42ADAFB5" w14:textId="77777777" w:rsidR="00B8467B" w:rsidRPr="00B8467B" w:rsidRDefault="00B8467B" w:rsidP="00B8467B">
            <w:pPr>
              <w:rPr>
                <w:rFonts w:ascii="Calibri" w:eastAsia="Times New Roman" w:hAnsi="Calibri" w:cs="Calibri"/>
                <w:color w:val="000000"/>
                <w:lang w:eastAsia="hr-HR"/>
              </w:rPr>
            </w:pPr>
          </w:p>
        </w:tc>
        <w:tc>
          <w:tcPr>
            <w:tcW w:w="2977" w:type="dxa"/>
          </w:tcPr>
          <w:p w14:paraId="1C3A813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Višegodišnji plan uravnoteženja</w:t>
            </w:r>
          </w:p>
        </w:tc>
        <w:tc>
          <w:tcPr>
            <w:tcW w:w="4814" w:type="dxa"/>
          </w:tcPr>
          <w:p w14:paraId="0B7B888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-ako proračunski korisnici ne mogu preneseni manjak podmiriti do kraja proračunske godine, obvezni su izraditi višegodišnji plan uravnoteženja za razdoblje za koje se financijski plan donosi -ako proračunski korisnici ne mogu preneseni višak, zbog njegove veličine, u cijelosti iskoristiti u jednoj proračunskoj godini, korištenje viška planira se višegodišnjim planom uravnoteženja za razdoblje za koje se financijski plan donosi</w:t>
            </w:r>
          </w:p>
        </w:tc>
      </w:tr>
      <w:tr w:rsidR="00B8467B" w:rsidRPr="00B8467B" w14:paraId="166C2B9D" w14:textId="77777777" w:rsidTr="007A31C6">
        <w:tc>
          <w:tcPr>
            <w:tcW w:w="1271" w:type="dxa"/>
          </w:tcPr>
          <w:p w14:paraId="2D211BC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lastRenderedPageBreak/>
              <w:t>Posebni dio financijskog plana</w:t>
            </w:r>
          </w:p>
        </w:tc>
        <w:tc>
          <w:tcPr>
            <w:tcW w:w="2977" w:type="dxa"/>
          </w:tcPr>
          <w:p w14:paraId="6A325EB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Plan rashoda i izdataka proračunskih korisnika</w:t>
            </w:r>
          </w:p>
        </w:tc>
        <w:tc>
          <w:tcPr>
            <w:tcW w:w="4814" w:type="dxa"/>
          </w:tcPr>
          <w:p w14:paraId="296803F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-rashodi i izdaci iskazani po izvorima financiranja i ekonomskoj klasifikaciji na razini skupine, raspoređeni u programe koji se sastoje od aktivnosti i projekata</w:t>
            </w:r>
          </w:p>
        </w:tc>
      </w:tr>
      <w:tr w:rsidR="00B8467B" w:rsidRPr="00B8467B" w14:paraId="5FDE643F" w14:textId="77777777" w:rsidTr="007A31C6">
        <w:tc>
          <w:tcPr>
            <w:tcW w:w="1271" w:type="dxa"/>
          </w:tcPr>
          <w:p w14:paraId="4ED1F19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Obrazloženje financijskog plana</w:t>
            </w:r>
          </w:p>
        </w:tc>
        <w:tc>
          <w:tcPr>
            <w:tcW w:w="2977" w:type="dxa"/>
          </w:tcPr>
          <w:p w14:paraId="672CFEB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Obrazloženje općeg dijela financijskog plana i Obrazloženje posebnog dijela financijskog plana</w:t>
            </w:r>
          </w:p>
        </w:tc>
        <w:tc>
          <w:tcPr>
            <w:tcW w:w="4814" w:type="dxa"/>
          </w:tcPr>
          <w:p w14:paraId="4435D2A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-obrazloženje općeg dijela financijskog plana sadrži obrazloženje prihoda i rashoda, primitaka i izdataka te obrazloženje prenesenog manjka odnosno viška financijskog plana -obrazloženje posebnog dijela financijskog plana sastoji se od obrazloženja programa koje se daje kroz obrazloženje aktivnosti i projekata zajedno s ciljevima i pokazateljima uspješnosti iz akata strateškog planiranja i godišnjeg plana rada</w:t>
            </w:r>
          </w:p>
        </w:tc>
      </w:tr>
    </w:tbl>
    <w:p w14:paraId="71B8A518" w14:textId="77777777" w:rsidR="00B8467B" w:rsidRPr="00B8467B" w:rsidRDefault="00B8467B" w:rsidP="00B8467B">
      <w:pPr>
        <w:rPr>
          <w:rFonts w:ascii="Calibri" w:eastAsia="Times New Roman" w:hAnsi="Calibri" w:cs="Calibri"/>
          <w:color w:val="000000"/>
          <w:lang w:eastAsia="hr-HR"/>
        </w:rPr>
      </w:pPr>
    </w:p>
    <w:p w14:paraId="53A26C40" w14:textId="77777777" w:rsidR="00B8467B" w:rsidRPr="00B8467B" w:rsidRDefault="00B8467B" w:rsidP="00B8467B">
      <w:pPr>
        <w:rPr>
          <w:rFonts w:ascii="Calibri" w:eastAsia="Times New Roman" w:hAnsi="Calibri" w:cs="Calibri"/>
          <w:b/>
          <w:bCs/>
          <w:color w:val="000000"/>
          <w:lang w:eastAsia="hr-HR"/>
        </w:rPr>
      </w:pPr>
      <w:bookmarkStart w:id="11" w:name="_Toc206054330"/>
      <w:r w:rsidRPr="00B8467B">
        <w:rPr>
          <w:rFonts w:ascii="Calibri" w:eastAsia="Times New Roman" w:hAnsi="Calibri" w:cs="Calibri"/>
          <w:b/>
          <w:bCs/>
          <w:color w:val="000000"/>
          <w:lang w:eastAsia="hr-HR"/>
        </w:rPr>
        <w:t>6.5. Predlaganje i donošenje financijskog plana</w:t>
      </w:r>
      <w:bookmarkEnd w:id="11"/>
    </w:p>
    <w:p w14:paraId="191FA7B2" w14:textId="77777777" w:rsidR="00B8467B" w:rsidRPr="00B8467B" w:rsidRDefault="00B8467B" w:rsidP="00B8467B">
      <w:pPr>
        <w:rPr>
          <w:rFonts w:ascii="Calibri" w:eastAsia="Times New Roman" w:hAnsi="Calibri" w:cs="Calibri"/>
          <w:color w:val="000000"/>
          <w:lang w:eastAsia="hr-HR"/>
        </w:rPr>
      </w:pPr>
    </w:p>
    <w:p w14:paraId="6E71265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Rok za predlaganje i donošenje financijskog plana proračunskog korisnika dan je u Tablici 4. Tablica 4. Predlaganje i donošenje financijskog plana proračunskih korisnika </w:t>
      </w:r>
    </w:p>
    <w:p w14:paraId="05D8A6CF" w14:textId="77777777" w:rsidR="00B8467B" w:rsidRPr="00B8467B" w:rsidRDefault="00B8467B" w:rsidP="00B8467B">
      <w:pPr>
        <w:rPr>
          <w:rFonts w:ascii="Calibri" w:eastAsia="Times New Roman" w:hAnsi="Calibri" w:cs="Calibri"/>
          <w:color w:val="000000"/>
          <w:lang w:eastAsia="hr-HR"/>
        </w:rPr>
      </w:pPr>
    </w:p>
    <w:tbl>
      <w:tblPr>
        <w:tblStyle w:val="Reetkatablice"/>
        <w:tblW w:w="0" w:type="auto"/>
        <w:tblLook w:val="04A0" w:firstRow="1" w:lastRow="0" w:firstColumn="1" w:lastColumn="0" w:noHBand="0" w:noVBand="1"/>
      </w:tblPr>
      <w:tblGrid>
        <w:gridCol w:w="1531"/>
        <w:gridCol w:w="1561"/>
        <w:gridCol w:w="1408"/>
        <w:gridCol w:w="4562"/>
      </w:tblGrid>
      <w:tr w:rsidR="00B8467B" w:rsidRPr="00B8467B" w14:paraId="54ABAE59" w14:textId="77777777" w:rsidTr="007A31C6">
        <w:tc>
          <w:tcPr>
            <w:tcW w:w="1531" w:type="dxa"/>
          </w:tcPr>
          <w:p w14:paraId="6384068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TKO?</w:t>
            </w:r>
          </w:p>
        </w:tc>
        <w:tc>
          <w:tcPr>
            <w:tcW w:w="1561" w:type="dxa"/>
          </w:tcPr>
          <w:p w14:paraId="5AFB2CC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KOME?</w:t>
            </w:r>
          </w:p>
        </w:tc>
        <w:tc>
          <w:tcPr>
            <w:tcW w:w="1408" w:type="dxa"/>
          </w:tcPr>
          <w:p w14:paraId="70F1AFE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ROK</w:t>
            </w:r>
          </w:p>
        </w:tc>
        <w:tc>
          <w:tcPr>
            <w:tcW w:w="4562" w:type="dxa"/>
          </w:tcPr>
          <w:p w14:paraId="02F6E49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NAPOMENA</w:t>
            </w:r>
          </w:p>
        </w:tc>
      </w:tr>
      <w:tr w:rsidR="00B8467B" w:rsidRPr="00B8467B" w14:paraId="37546A43" w14:textId="77777777" w:rsidTr="007A31C6">
        <w:tc>
          <w:tcPr>
            <w:tcW w:w="1531" w:type="dxa"/>
          </w:tcPr>
          <w:p w14:paraId="594C6918"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Čelnik proračunskog korisnika općine</w:t>
            </w:r>
          </w:p>
        </w:tc>
        <w:tc>
          <w:tcPr>
            <w:tcW w:w="1561" w:type="dxa"/>
          </w:tcPr>
          <w:p w14:paraId="6368A99D"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Upravljačkom tijelu</w:t>
            </w:r>
          </w:p>
        </w:tc>
        <w:tc>
          <w:tcPr>
            <w:tcW w:w="1408" w:type="dxa"/>
          </w:tcPr>
          <w:p w14:paraId="413FDB74"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30. rujan 2026.</w:t>
            </w:r>
          </w:p>
        </w:tc>
        <w:tc>
          <w:tcPr>
            <w:tcW w:w="4562" w:type="dxa"/>
          </w:tcPr>
          <w:p w14:paraId="49D2CECD"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Prije dostave prijedloga financijskog plana  nadležnom upravnom tijelu, čelnik proračunskog korisnika obvezan je prijedlog plana uputiti upravljačkom tijelu na usvajanje, ako je primjenjivo, u skladu s aktima kojima je uređen rad proračunskog korisnika</w:t>
            </w:r>
          </w:p>
        </w:tc>
      </w:tr>
      <w:tr w:rsidR="00B8467B" w:rsidRPr="00B8467B" w14:paraId="23DE12B6" w14:textId="77777777" w:rsidTr="007A31C6">
        <w:tc>
          <w:tcPr>
            <w:tcW w:w="1531" w:type="dxa"/>
          </w:tcPr>
          <w:p w14:paraId="3C7D535F"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Proračunski korisnik</w:t>
            </w:r>
          </w:p>
        </w:tc>
        <w:tc>
          <w:tcPr>
            <w:tcW w:w="1561" w:type="dxa"/>
          </w:tcPr>
          <w:p w14:paraId="2EF444D8"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 xml:space="preserve">Jedinstvenom upravnom odjelu </w:t>
            </w:r>
          </w:p>
        </w:tc>
        <w:tc>
          <w:tcPr>
            <w:tcW w:w="1408" w:type="dxa"/>
          </w:tcPr>
          <w:p w14:paraId="6C01EA6F"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5. listopada 2026.</w:t>
            </w:r>
          </w:p>
        </w:tc>
        <w:tc>
          <w:tcPr>
            <w:tcW w:w="4562" w:type="dxa"/>
          </w:tcPr>
          <w:p w14:paraId="208B879B" w14:textId="77777777" w:rsidR="00B8467B" w:rsidRPr="00B8467B" w:rsidRDefault="00B8467B" w:rsidP="00B8467B">
            <w:pPr>
              <w:rPr>
                <w:rFonts w:ascii="Calibri" w:eastAsia="Times New Roman" w:hAnsi="Calibri" w:cs="Calibri"/>
                <w:b/>
                <w:bCs/>
                <w:color w:val="000000"/>
                <w:lang w:eastAsia="hr-HR"/>
              </w:rPr>
            </w:pPr>
            <w:r w:rsidRPr="00B8467B">
              <w:rPr>
                <w:rFonts w:ascii="Calibri" w:eastAsia="Times New Roman" w:hAnsi="Calibri" w:cs="Calibri"/>
                <w:b/>
                <w:bCs/>
                <w:color w:val="000000"/>
                <w:lang w:eastAsia="hr-HR"/>
              </w:rPr>
              <w:t>Nadležna upravna tijela dostavljaju prijedlog  svog financijskog plana i prijedloge financijskih planova proračunskih korisnika iz svoje nadležnosti Jedinstvenom upravnom odjelu</w:t>
            </w:r>
          </w:p>
        </w:tc>
      </w:tr>
      <w:tr w:rsidR="00B8467B" w:rsidRPr="00B8467B" w14:paraId="10691076" w14:textId="77777777" w:rsidTr="007A31C6">
        <w:tc>
          <w:tcPr>
            <w:tcW w:w="1531" w:type="dxa"/>
          </w:tcPr>
          <w:p w14:paraId="19809BF3"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Jedinstveni upravni odjel</w:t>
            </w:r>
          </w:p>
        </w:tc>
        <w:tc>
          <w:tcPr>
            <w:tcW w:w="1561" w:type="dxa"/>
          </w:tcPr>
          <w:p w14:paraId="75EB65D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Izvršno tijelo - načelnik</w:t>
            </w:r>
          </w:p>
        </w:tc>
        <w:tc>
          <w:tcPr>
            <w:tcW w:w="1408" w:type="dxa"/>
          </w:tcPr>
          <w:p w14:paraId="62AF85A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19.listopada 2026.</w:t>
            </w:r>
          </w:p>
        </w:tc>
        <w:tc>
          <w:tcPr>
            <w:tcW w:w="4562" w:type="dxa"/>
          </w:tcPr>
          <w:p w14:paraId="02A85F9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Jedinstveni upravni odjel izrađuje nacrt proračuna te ga dostavlja načelniku</w:t>
            </w:r>
          </w:p>
        </w:tc>
      </w:tr>
      <w:tr w:rsidR="00B8467B" w:rsidRPr="00B8467B" w14:paraId="12411AF7" w14:textId="77777777" w:rsidTr="007A31C6">
        <w:tc>
          <w:tcPr>
            <w:tcW w:w="1531" w:type="dxa"/>
          </w:tcPr>
          <w:p w14:paraId="29A92D1A"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Načelnik</w:t>
            </w:r>
          </w:p>
        </w:tc>
        <w:tc>
          <w:tcPr>
            <w:tcW w:w="1561" w:type="dxa"/>
          </w:tcPr>
          <w:p w14:paraId="5A340BB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Predstav. tijelo Općinsko vijeće</w:t>
            </w:r>
          </w:p>
        </w:tc>
        <w:tc>
          <w:tcPr>
            <w:tcW w:w="1408" w:type="dxa"/>
          </w:tcPr>
          <w:p w14:paraId="19B18FE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15. studenog 2026.</w:t>
            </w:r>
          </w:p>
        </w:tc>
        <w:tc>
          <w:tcPr>
            <w:tcW w:w="4562" w:type="dxa"/>
          </w:tcPr>
          <w:p w14:paraId="4BEB058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Načelnik utvrđuje prijedlog proračuna i podnosi ga predstavničkom tijelu na donošenje</w:t>
            </w:r>
          </w:p>
        </w:tc>
      </w:tr>
      <w:tr w:rsidR="00B8467B" w:rsidRPr="00B8467B" w14:paraId="68B5D44C" w14:textId="77777777" w:rsidTr="007A31C6">
        <w:tc>
          <w:tcPr>
            <w:tcW w:w="1531" w:type="dxa"/>
          </w:tcPr>
          <w:p w14:paraId="66B42B4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Općinsko vijeće</w:t>
            </w:r>
          </w:p>
        </w:tc>
        <w:tc>
          <w:tcPr>
            <w:tcW w:w="1561" w:type="dxa"/>
          </w:tcPr>
          <w:p w14:paraId="28EE244E" w14:textId="77777777" w:rsidR="00B8467B" w:rsidRPr="00B8467B" w:rsidRDefault="00B8467B" w:rsidP="00B8467B">
            <w:pPr>
              <w:rPr>
                <w:rFonts w:ascii="Calibri" w:eastAsia="Times New Roman" w:hAnsi="Calibri" w:cs="Calibri"/>
                <w:color w:val="000000"/>
                <w:lang w:eastAsia="hr-HR"/>
              </w:rPr>
            </w:pPr>
          </w:p>
        </w:tc>
        <w:tc>
          <w:tcPr>
            <w:tcW w:w="1408" w:type="dxa"/>
          </w:tcPr>
          <w:p w14:paraId="52F39D6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Do kraja tekuće 2026.</w:t>
            </w:r>
          </w:p>
        </w:tc>
        <w:tc>
          <w:tcPr>
            <w:tcW w:w="4562" w:type="dxa"/>
          </w:tcPr>
          <w:p w14:paraId="66EB375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Općinsko vijeće donosi proračun za 2027. godinu i projekcije za 2028. i 2029. godinu do kraja tekuće 2026. godine, u roku koji omogućuje primjenu proračuna od 1. siječnja 2027. godine</w:t>
            </w:r>
          </w:p>
        </w:tc>
      </w:tr>
    </w:tbl>
    <w:p w14:paraId="229E5874" w14:textId="77777777" w:rsidR="00B8467B" w:rsidRPr="00B8467B" w:rsidRDefault="00B8467B" w:rsidP="00B8467B">
      <w:pPr>
        <w:rPr>
          <w:rFonts w:ascii="Calibri" w:eastAsia="Times New Roman" w:hAnsi="Calibri" w:cs="Calibri"/>
          <w:color w:val="000000"/>
          <w:lang w:eastAsia="hr-HR"/>
        </w:rPr>
      </w:pPr>
    </w:p>
    <w:p w14:paraId="2FB422B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U slučaju da postoje razlike u financijskom planu proračunskog korisnika sadržanom u proračunu, kojeg je donijelo općinsko vijeće u odnos na već usvojeni prijedlog financijskog plana od strane upravljačkog tijela, tada je Jedinstveni upravni odjel dužan obavijestiti proračunskog korisnika o promjenama financijskog plana koji je sadržan u proračunu u odnosu na usvojeni prijedlog financijskog plana. Ako dođe do navedene situacije, upravljačko tijelo usvaja financijski plan koji je sadržan u proračunu kojeg je donijelo predstavničko tijelo. </w:t>
      </w:r>
    </w:p>
    <w:p w14:paraId="2CA5D39A" w14:textId="77777777" w:rsidR="00B8467B" w:rsidRPr="00B8467B" w:rsidRDefault="00B8467B" w:rsidP="00B8467B">
      <w:pPr>
        <w:rPr>
          <w:rFonts w:ascii="Calibri" w:eastAsia="Times New Roman" w:hAnsi="Calibri" w:cs="Calibri"/>
          <w:color w:val="000000"/>
          <w:lang w:eastAsia="hr-HR"/>
        </w:rPr>
      </w:pPr>
    </w:p>
    <w:p w14:paraId="70B38918" w14:textId="77777777" w:rsidR="00B8467B" w:rsidRPr="00B8467B" w:rsidRDefault="00B8467B" w:rsidP="00B8467B">
      <w:pPr>
        <w:rPr>
          <w:rFonts w:ascii="Calibri" w:eastAsia="Times New Roman" w:hAnsi="Calibri" w:cs="Calibri"/>
          <w:b/>
          <w:bCs/>
          <w:color w:val="000000"/>
          <w:lang w:eastAsia="hr-HR"/>
        </w:rPr>
      </w:pPr>
      <w:bookmarkStart w:id="12" w:name="_Toc206054331"/>
      <w:r w:rsidRPr="00B8467B">
        <w:rPr>
          <w:rFonts w:ascii="Calibri" w:eastAsia="Times New Roman" w:hAnsi="Calibri" w:cs="Calibri"/>
          <w:b/>
          <w:bCs/>
          <w:color w:val="000000"/>
          <w:lang w:eastAsia="hr-HR"/>
        </w:rPr>
        <w:t>6.6. Izmjene i dopune proračuna i preraspodjele u 2027. godini</w:t>
      </w:r>
      <w:bookmarkEnd w:id="12"/>
    </w:p>
    <w:p w14:paraId="329F48DE" w14:textId="77777777" w:rsidR="00B8467B" w:rsidRPr="00B8467B" w:rsidRDefault="00B8467B" w:rsidP="00B8467B">
      <w:pPr>
        <w:rPr>
          <w:rFonts w:ascii="Calibri" w:eastAsia="Times New Roman" w:hAnsi="Calibri" w:cs="Calibri"/>
          <w:color w:val="000000"/>
          <w:lang w:eastAsia="hr-HR"/>
        </w:rPr>
      </w:pPr>
    </w:p>
    <w:p w14:paraId="23BB3CE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Prema Zakonu o proračunu te Pravilniku o proračunskom računovodstvu i Računskom planu namjenski prihodi i primici te vlastiti prihodi koje ostvare proračunski korisnici jedinica lokalne i područne (regionalne) samouprave, bez obzira na njihovu uključenost u proračun i sustav riznice, i nadalje ostaju prihodi i primici proračunskih korisnika te se tako i evidentiraju. Prihodi su </w:t>
      </w:r>
      <w:r w:rsidRPr="00B8467B">
        <w:rPr>
          <w:rFonts w:ascii="Calibri" w:eastAsia="Times New Roman" w:hAnsi="Calibri" w:cs="Calibri"/>
          <w:color w:val="000000"/>
          <w:lang w:eastAsia="hr-HR"/>
        </w:rPr>
        <w:lastRenderedPageBreak/>
        <w:t xml:space="preserve">proračunskih korisnika jer korisnici njima raspolažu, odnosno utvrđuju koji će se rashodi podmiriti iz tih izvora. </w:t>
      </w:r>
    </w:p>
    <w:p w14:paraId="611C0BA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Tijekom godine moguće su nepredviđene okolnosti koje dovode do neplaniranih ostvarenja prihoda i primitaka te rashoda i izdataka proračunskih korisnika jedinice lokalne i područne (regionalne) samouprave. </w:t>
      </w:r>
    </w:p>
    <w:p w14:paraId="0BF73C0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Dakle, upravljačka tijela korisnika mogu donositi izmjene i dopune financijskog plana bez prethodne suglasnosti jedinice lokalne i područne (regionalne) samouprave, odnosno bez donošenja izmjena i dopuna proračuna jedinice lokalne i područne (regionalne) samouprave samo za rashode koji se financiraju iz vlastitih izvora. </w:t>
      </w:r>
    </w:p>
    <w:p w14:paraId="26C62A1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Kada je riječ o promjenama u financijskom planu proračunskih korisnika koje su vezane uz financiranje iz izvora općih prihoda i primitaka odnosno iz nadležnog lokalnog proračuna, podrazumijeva se da navedenom nije moguće pristupiti bez suglasnosti jedinice lokalne i područne (regionalne) samouprave odnosno preraspodjela ili izmjena i dopuna proračuna. Proračunski korisnici moraju imati usklađene Financijske planove s Proračunom iz kojeg se financiraju. </w:t>
      </w:r>
    </w:p>
    <w:p w14:paraId="1B497685" w14:textId="77777777" w:rsidR="00B8467B" w:rsidRPr="00B8467B" w:rsidRDefault="00B8467B" w:rsidP="00B8467B">
      <w:pPr>
        <w:rPr>
          <w:rFonts w:ascii="Calibri" w:eastAsia="Times New Roman" w:hAnsi="Calibri" w:cs="Calibri"/>
          <w:color w:val="000000"/>
          <w:lang w:eastAsia="hr-HR"/>
        </w:rPr>
      </w:pPr>
    </w:p>
    <w:p w14:paraId="6C548EB3" w14:textId="77777777" w:rsidR="00B8467B" w:rsidRPr="00B8467B" w:rsidRDefault="00B8467B" w:rsidP="00B8467B">
      <w:pPr>
        <w:rPr>
          <w:rFonts w:ascii="Calibri" w:eastAsia="Times New Roman" w:hAnsi="Calibri" w:cs="Calibri"/>
          <w:b/>
          <w:bCs/>
          <w:color w:val="000000"/>
          <w:lang w:eastAsia="hr-HR"/>
        </w:rPr>
      </w:pPr>
      <w:bookmarkStart w:id="13" w:name="_Toc206054332"/>
      <w:r w:rsidRPr="00B8467B">
        <w:rPr>
          <w:rFonts w:ascii="Calibri" w:eastAsia="Times New Roman" w:hAnsi="Calibri" w:cs="Calibri"/>
          <w:b/>
          <w:bCs/>
          <w:color w:val="000000"/>
          <w:lang w:eastAsia="hr-HR"/>
        </w:rPr>
        <w:t>6.7. Visina financijskog plana proračunskog korisnika</w:t>
      </w:r>
      <w:bookmarkEnd w:id="13"/>
    </w:p>
    <w:p w14:paraId="02F366B0" w14:textId="77777777" w:rsidR="00B8467B" w:rsidRPr="00B8467B" w:rsidRDefault="00B8467B" w:rsidP="00B8467B">
      <w:pPr>
        <w:rPr>
          <w:rFonts w:ascii="Calibri" w:eastAsia="Times New Roman" w:hAnsi="Calibri" w:cs="Calibri"/>
          <w:color w:val="000000"/>
          <w:lang w:eastAsia="hr-HR"/>
        </w:rPr>
      </w:pPr>
    </w:p>
    <w:p w14:paraId="4EB7129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Ovim Uputama se u skladu s odredbama Zakona o proračunu određuju dvojni limiti u apsolutnim iznosima kojima se limitiraju isključivo sredstva koja ostvaruju iz proračuna Općine NUŠTAR, koje su proračunski korisnici dužni razraditi u svojim financijskim planovima.  </w:t>
      </w:r>
    </w:p>
    <w:p w14:paraId="60508AC9"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Upute sadržavaju dvojne limite. Limit 1. odnosi se na sredstva potrebna za provedbu postojećih programa, odnosno aktivnosti (troškovi održavanja postojeće razine usluga, uzimajući u obzir primjerice očekivane promjene u broju korisnika, promjene u razine i vrste usluga i sl.). Limit 2. odnosi se na sredstva potrebna za provedbu novih ili promjenu postojećih programa ili aktivnosti. Navedeni limiti za proračunske korisnike (Tab.5.) odnose se na sredstva koja se financiraju iz Proračuna Općine NUŠTAR. </w:t>
      </w:r>
    </w:p>
    <w:p w14:paraId="0CE93BC1" w14:textId="77777777" w:rsidR="00B8467B" w:rsidRPr="00B8467B" w:rsidRDefault="00B8467B" w:rsidP="00B8467B">
      <w:pPr>
        <w:rPr>
          <w:rFonts w:ascii="Calibri" w:eastAsia="Times New Roman" w:hAnsi="Calibri" w:cs="Calibri"/>
          <w:color w:val="000000"/>
          <w:lang w:eastAsia="hr-HR"/>
        </w:rPr>
      </w:pPr>
    </w:p>
    <w:p w14:paraId="6AA622D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Tablica 5. </w:t>
      </w:r>
    </w:p>
    <w:tbl>
      <w:tblPr>
        <w:tblStyle w:val="Reetkatablice"/>
        <w:tblW w:w="0" w:type="auto"/>
        <w:tblLook w:val="04A0" w:firstRow="1" w:lastRow="0" w:firstColumn="1" w:lastColumn="0" w:noHBand="0" w:noVBand="1"/>
      </w:tblPr>
      <w:tblGrid>
        <w:gridCol w:w="1612"/>
        <w:gridCol w:w="1386"/>
        <w:gridCol w:w="1096"/>
        <w:gridCol w:w="1386"/>
        <w:gridCol w:w="1098"/>
        <w:gridCol w:w="1386"/>
        <w:gridCol w:w="1098"/>
      </w:tblGrid>
      <w:tr w:rsidR="00B8467B" w:rsidRPr="00B8467B" w14:paraId="2CBD63D6" w14:textId="77777777" w:rsidTr="007A31C6">
        <w:tc>
          <w:tcPr>
            <w:tcW w:w="1627" w:type="dxa"/>
            <w:vMerge w:val="restart"/>
          </w:tcPr>
          <w:p w14:paraId="0292A59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PRORAČUNSKI KORISNIK</w:t>
            </w:r>
          </w:p>
        </w:tc>
        <w:tc>
          <w:tcPr>
            <w:tcW w:w="2477" w:type="dxa"/>
            <w:gridSpan w:val="2"/>
          </w:tcPr>
          <w:p w14:paraId="4EE82AE9"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2027.</w:t>
            </w:r>
          </w:p>
        </w:tc>
        <w:tc>
          <w:tcPr>
            <w:tcW w:w="2479" w:type="dxa"/>
            <w:gridSpan w:val="2"/>
          </w:tcPr>
          <w:p w14:paraId="3BC3134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2028.</w:t>
            </w:r>
          </w:p>
        </w:tc>
        <w:tc>
          <w:tcPr>
            <w:tcW w:w="2479" w:type="dxa"/>
            <w:gridSpan w:val="2"/>
          </w:tcPr>
          <w:p w14:paraId="45C8359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2029.</w:t>
            </w:r>
          </w:p>
        </w:tc>
      </w:tr>
      <w:tr w:rsidR="00B8467B" w:rsidRPr="00B8467B" w14:paraId="7B526BF8" w14:textId="77777777" w:rsidTr="007A31C6">
        <w:tc>
          <w:tcPr>
            <w:tcW w:w="1627" w:type="dxa"/>
            <w:vMerge/>
          </w:tcPr>
          <w:p w14:paraId="78ABCB20" w14:textId="77777777" w:rsidR="00B8467B" w:rsidRPr="00B8467B" w:rsidRDefault="00B8467B" w:rsidP="00B8467B">
            <w:pPr>
              <w:rPr>
                <w:rFonts w:ascii="Calibri" w:eastAsia="Times New Roman" w:hAnsi="Calibri" w:cs="Calibri"/>
                <w:color w:val="000000"/>
                <w:lang w:eastAsia="hr-HR"/>
              </w:rPr>
            </w:pPr>
          </w:p>
        </w:tc>
        <w:tc>
          <w:tcPr>
            <w:tcW w:w="1310" w:type="dxa"/>
          </w:tcPr>
          <w:p w14:paraId="719C884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Limit 1.</w:t>
            </w:r>
          </w:p>
        </w:tc>
        <w:tc>
          <w:tcPr>
            <w:tcW w:w="1167" w:type="dxa"/>
          </w:tcPr>
          <w:p w14:paraId="1D24FD29"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Limit 2.</w:t>
            </w:r>
          </w:p>
        </w:tc>
        <w:tc>
          <w:tcPr>
            <w:tcW w:w="1310" w:type="dxa"/>
          </w:tcPr>
          <w:p w14:paraId="2F10E0F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Limit 1.</w:t>
            </w:r>
          </w:p>
        </w:tc>
        <w:tc>
          <w:tcPr>
            <w:tcW w:w="1169" w:type="dxa"/>
          </w:tcPr>
          <w:p w14:paraId="3594349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Limit 2.</w:t>
            </w:r>
          </w:p>
        </w:tc>
        <w:tc>
          <w:tcPr>
            <w:tcW w:w="1310" w:type="dxa"/>
          </w:tcPr>
          <w:p w14:paraId="11B3115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Limit 1.</w:t>
            </w:r>
          </w:p>
        </w:tc>
        <w:tc>
          <w:tcPr>
            <w:tcW w:w="1169" w:type="dxa"/>
          </w:tcPr>
          <w:p w14:paraId="1DAC700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Limit 2.</w:t>
            </w:r>
          </w:p>
        </w:tc>
      </w:tr>
      <w:tr w:rsidR="00B8467B" w:rsidRPr="00B8467B" w14:paraId="01CDA53A" w14:textId="77777777" w:rsidTr="007A31C6">
        <w:tc>
          <w:tcPr>
            <w:tcW w:w="1627" w:type="dxa"/>
          </w:tcPr>
          <w:p w14:paraId="24050879"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Dječji vrtić Vrtuljak</w:t>
            </w:r>
          </w:p>
        </w:tc>
        <w:tc>
          <w:tcPr>
            <w:tcW w:w="1310" w:type="dxa"/>
          </w:tcPr>
          <w:p w14:paraId="7022DBB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1.030.000,00</w:t>
            </w:r>
          </w:p>
        </w:tc>
        <w:tc>
          <w:tcPr>
            <w:tcW w:w="1167" w:type="dxa"/>
          </w:tcPr>
          <w:p w14:paraId="045368C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w:t>
            </w:r>
          </w:p>
        </w:tc>
        <w:tc>
          <w:tcPr>
            <w:tcW w:w="1310" w:type="dxa"/>
          </w:tcPr>
          <w:p w14:paraId="0EE6580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1.080.000,00</w:t>
            </w:r>
          </w:p>
        </w:tc>
        <w:tc>
          <w:tcPr>
            <w:tcW w:w="1169" w:type="dxa"/>
          </w:tcPr>
          <w:p w14:paraId="35CAF86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w:t>
            </w:r>
          </w:p>
        </w:tc>
        <w:tc>
          <w:tcPr>
            <w:tcW w:w="1310" w:type="dxa"/>
          </w:tcPr>
          <w:p w14:paraId="46A9542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1.132.000,00</w:t>
            </w:r>
          </w:p>
        </w:tc>
        <w:tc>
          <w:tcPr>
            <w:tcW w:w="1169" w:type="dxa"/>
          </w:tcPr>
          <w:p w14:paraId="690F0F5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w:t>
            </w:r>
          </w:p>
        </w:tc>
      </w:tr>
      <w:tr w:rsidR="00B8467B" w:rsidRPr="00B8467B" w14:paraId="62BD1676" w14:textId="77777777" w:rsidTr="007A31C6">
        <w:tc>
          <w:tcPr>
            <w:tcW w:w="1627" w:type="dxa"/>
          </w:tcPr>
          <w:p w14:paraId="4948634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Narodna knjižnica i Čitaonica</w:t>
            </w:r>
          </w:p>
        </w:tc>
        <w:tc>
          <w:tcPr>
            <w:tcW w:w="1310" w:type="dxa"/>
          </w:tcPr>
          <w:p w14:paraId="7914B5D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51.900,00</w:t>
            </w:r>
          </w:p>
        </w:tc>
        <w:tc>
          <w:tcPr>
            <w:tcW w:w="1167" w:type="dxa"/>
          </w:tcPr>
          <w:p w14:paraId="2A91DCC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w:t>
            </w:r>
          </w:p>
        </w:tc>
        <w:tc>
          <w:tcPr>
            <w:tcW w:w="1310" w:type="dxa"/>
          </w:tcPr>
          <w:p w14:paraId="38D014D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53.000,00</w:t>
            </w:r>
          </w:p>
        </w:tc>
        <w:tc>
          <w:tcPr>
            <w:tcW w:w="1169" w:type="dxa"/>
          </w:tcPr>
          <w:p w14:paraId="21BB4AD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w:t>
            </w:r>
          </w:p>
        </w:tc>
        <w:tc>
          <w:tcPr>
            <w:tcW w:w="1310" w:type="dxa"/>
          </w:tcPr>
          <w:p w14:paraId="293263A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57.500,00</w:t>
            </w:r>
          </w:p>
        </w:tc>
        <w:tc>
          <w:tcPr>
            <w:tcW w:w="1169" w:type="dxa"/>
          </w:tcPr>
          <w:p w14:paraId="0D2515A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w:t>
            </w:r>
          </w:p>
        </w:tc>
      </w:tr>
    </w:tbl>
    <w:p w14:paraId="0B13A8CD" w14:textId="77777777" w:rsidR="00B8467B" w:rsidRPr="00B8467B" w:rsidRDefault="00B8467B" w:rsidP="00B8467B">
      <w:pPr>
        <w:rPr>
          <w:rFonts w:ascii="Calibri" w:eastAsia="Times New Roman" w:hAnsi="Calibri" w:cs="Calibri"/>
          <w:color w:val="000000"/>
          <w:lang w:eastAsia="hr-HR"/>
        </w:rPr>
      </w:pPr>
    </w:p>
    <w:p w14:paraId="0C3F8496" w14:textId="77777777" w:rsidR="00B8467B" w:rsidRPr="00B8467B" w:rsidRDefault="00B8467B" w:rsidP="00B8467B">
      <w:pPr>
        <w:rPr>
          <w:rFonts w:ascii="Calibri" w:eastAsia="Times New Roman" w:hAnsi="Calibri" w:cs="Calibri"/>
          <w:color w:val="000000"/>
          <w:lang w:eastAsia="hr-HR"/>
        </w:rPr>
      </w:pPr>
    </w:p>
    <w:p w14:paraId="7BCE263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Proračunski korisnik financijski plan za 2027. g. planira i dostavlja Jedinstvenom upravnom odjelu Općine NUŠTAR na razini odjeljka (četvrta razina računskog plana), a usvajaju ga na razini skupine (druga razina računskog plana), a projekcije za 2028. i 2029. godinu na razini skupine (druga razina računskog plana). Financijski plan korisnika treba biti uravnotežen. Odgovorna osoba proračunskog korisnika odgovorna je za zakonito i pravilno planiranje i izvršavanje financijskog plana. </w:t>
      </w:r>
    </w:p>
    <w:p w14:paraId="2E9DD165" w14:textId="77777777" w:rsidR="00B8467B" w:rsidRPr="00B8467B" w:rsidRDefault="00B8467B" w:rsidP="00B8467B">
      <w:pPr>
        <w:rPr>
          <w:rFonts w:ascii="Calibri" w:eastAsia="Times New Roman" w:hAnsi="Calibri" w:cs="Calibri"/>
          <w:color w:val="000000"/>
          <w:lang w:eastAsia="hr-HR"/>
        </w:rPr>
      </w:pPr>
    </w:p>
    <w:p w14:paraId="7776E46F" w14:textId="77777777" w:rsidR="00B8467B" w:rsidRPr="00B8467B" w:rsidRDefault="00B8467B" w:rsidP="00B8467B">
      <w:pPr>
        <w:rPr>
          <w:rFonts w:ascii="Calibri" w:eastAsia="Times New Roman" w:hAnsi="Calibri" w:cs="Calibri"/>
          <w:b/>
          <w:bCs/>
          <w:color w:val="000000"/>
          <w:lang w:eastAsia="hr-HR"/>
        </w:rPr>
      </w:pPr>
      <w:bookmarkStart w:id="14" w:name="_Toc206054333"/>
      <w:r w:rsidRPr="00B8467B">
        <w:rPr>
          <w:rFonts w:ascii="Calibri" w:eastAsia="Times New Roman" w:hAnsi="Calibri" w:cs="Calibri"/>
          <w:b/>
          <w:bCs/>
          <w:color w:val="000000"/>
          <w:lang w:eastAsia="hr-HR"/>
        </w:rPr>
        <w:t>6.8. Primjena načela transparentnosti</w:t>
      </w:r>
      <w:bookmarkEnd w:id="14"/>
    </w:p>
    <w:p w14:paraId="272660E0" w14:textId="77777777" w:rsidR="00B8467B" w:rsidRPr="00B8467B" w:rsidRDefault="00B8467B" w:rsidP="00B8467B">
      <w:pPr>
        <w:rPr>
          <w:rFonts w:ascii="Calibri" w:eastAsia="Times New Roman" w:hAnsi="Calibri" w:cs="Calibri"/>
          <w:color w:val="000000"/>
          <w:lang w:eastAsia="hr-HR"/>
        </w:rPr>
      </w:pPr>
    </w:p>
    <w:p w14:paraId="065F303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Da bi se osiguralo ostvarenje načela transparentnosti i slobodan pristup informacijama kao i njihovo povezivanje, preuzimanje i ponovno korištenje, preporučuje se da se svi navedeni materijali vezani uz proračun i njegove izmjene objavljuju u formatu pogodnom za daljnju obradu (word i excel). </w:t>
      </w:r>
    </w:p>
    <w:p w14:paraId="0CCA7D3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Sukladno odredbama članka 144. Zakona o proračunu u nastavku navodimo obaveze vezano za transparentnost: </w:t>
      </w:r>
    </w:p>
    <w:p w14:paraId="4F324D6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Financijski plan i izmjene i dopune financijskog plana, polugodišnji i godišnji izvještaj o izvršenju financijskog plana proračunskog korisnika objavljuje se na njegovim mrežnim stranicama </w:t>
      </w:r>
    </w:p>
    <w:p w14:paraId="57D0E2AD"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 Opći i posebni dio polugodišnjeg i godišnjeg izvještaja o izvršenju financijskog plana izvanproračunskog korisnika objavljuju se u službenom glasilu </w:t>
      </w:r>
    </w:p>
    <w:p w14:paraId="0394FAC4"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lastRenderedPageBreak/>
        <w:t xml:space="preserve">Također, Ministar financija je, sukladno članku 144. Zakona o proračunu, u svibnju 2023. godine donio Naputak o okvirnom sadržaju, minimalnom skupu podataka te načinu javne objave informacija o trošenju sredstava na mrežnim stranicama JLiP(R)S, te proračunskih i izvanproračunskih korisnika. Isti objavljen u Narodnim novinama br.59/23, (https://narodnenovine.nn.hr/ clanci/sluzbeni/2023_06_59_1003.html) te na mrežnoj stranici Ministarstva financija (https: //mfin.gov.hr/istaknute-teme/drzavna-riznica/izvrsenjeproracuna/institucionalni-okvir-164/164). Obveznici primjene Naputka su JLiP(R)S, proračunski i izvanproračunski korisnici državnog proračuna i proračuna JLiP(R)S. Naputkom se propisuje okvirni sadržaj, minimalni skup podataka te način javne objave informacija o trošenju sredstava na mrežnim stranicama JLiP(R)S te proračunskih korisnika u njihovoj nadležnosti. </w:t>
      </w:r>
    </w:p>
    <w:p w14:paraId="0564E49C" w14:textId="77777777" w:rsidR="00B8467B" w:rsidRPr="00B8467B" w:rsidRDefault="00B8467B" w:rsidP="00B8467B">
      <w:pPr>
        <w:rPr>
          <w:rFonts w:ascii="Calibri" w:eastAsia="Times New Roman" w:hAnsi="Calibri" w:cs="Calibri"/>
          <w:color w:val="000000"/>
          <w:lang w:eastAsia="hr-HR"/>
        </w:rPr>
      </w:pPr>
    </w:p>
    <w:p w14:paraId="0AA2D904" w14:textId="77777777" w:rsidR="00B8467B" w:rsidRPr="00B8467B" w:rsidRDefault="00B8467B" w:rsidP="00B8467B">
      <w:pPr>
        <w:rPr>
          <w:rFonts w:ascii="Calibri" w:eastAsia="Times New Roman" w:hAnsi="Calibri" w:cs="Calibri"/>
          <w:color w:val="000000"/>
          <w:lang w:eastAsia="hr-HR"/>
        </w:rPr>
      </w:pPr>
      <w:bookmarkStart w:id="15" w:name="_Toc206054334"/>
      <w:r w:rsidRPr="00B8467B">
        <w:rPr>
          <w:rFonts w:ascii="Calibri" w:eastAsia="Times New Roman" w:hAnsi="Calibri" w:cs="Calibri"/>
          <w:color w:val="000000"/>
          <w:lang w:eastAsia="hr-HR"/>
        </w:rPr>
        <w:t>7. ZADUŽIVANJE JEDINICA LOKALNE I PODRUČNE (REGIONALNE) SAMOUPRAVE, TE PLANIRANJE JAMSTAVA PREMA ZAKONU O PRORAČUNU</w:t>
      </w:r>
      <w:bookmarkEnd w:id="15"/>
      <w:r w:rsidRPr="00B8467B">
        <w:rPr>
          <w:rFonts w:ascii="Calibri" w:eastAsia="Times New Roman" w:hAnsi="Calibri" w:cs="Calibri"/>
          <w:color w:val="000000"/>
          <w:lang w:eastAsia="hr-HR"/>
        </w:rPr>
        <w:t xml:space="preserve"> </w:t>
      </w:r>
    </w:p>
    <w:p w14:paraId="246C259A" w14:textId="77777777" w:rsidR="00B8467B" w:rsidRPr="00B8467B" w:rsidRDefault="00B8467B" w:rsidP="00B8467B">
      <w:pPr>
        <w:rPr>
          <w:rFonts w:ascii="Calibri" w:eastAsia="Times New Roman" w:hAnsi="Calibri" w:cs="Calibri"/>
          <w:color w:val="000000"/>
          <w:lang w:eastAsia="hr-HR"/>
        </w:rPr>
      </w:pPr>
    </w:p>
    <w:p w14:paraId="63EB52C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Zakonom o proračunu, propisano je da se jedinica lokalne i područne (regionalne) samouprave, osim za investiciju koja se financira iz njezina proračuna, može zadužiti i za kapitalne pomoći trgovačkim društvima i drugim pravnim osobama u većinskom vlasništvu ili suvlasništvu jedinice lokalne i područne (regionalne) samouprave te za realizaciju investicije koja se sufinancira iz fondova Europske unije kao i za investicije, odnosno projekte, čija je realizacija utvrđena posebnim propisima, a kojima se stvara obveza sudjelovanja jedinica lokalne i područne (regionalne) samouprave. </w:t>
      </w:r>
    </w:p>
    <w:p w14:paraId="55D42B6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Zakonom se također omogućava zaduživanje jedinica lokalne i područne (regionalne) samouprave za financiranje obveza na ime povrata neprihvatljivih troškova koji su bili sufinancirani iz fondova Europske unije. </w:t>
      </w:r>
    </w:p>
    <w:p w14:paraId="47912F2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Također, propisano je da se u iznos ukupne godišnje obveze (najviše do 20% ostvarenih proračunskih prihoda u godini koja prethodi godini u kojoj se jedinica zadužuje/daje jamstvo/suglasnost) uključuju dospjele obveze iskazane u zadnjem raspoloživom financijskom izvještaju dok je u starom zakonu bilo propisano da u izračun ulaze dospjele nepodmirene obveze iz prethodnih godina. Ova je odredba u primjeni od 1. siječnja 2023. Zakonom je dodatno uređen proces zaduživanja JLiP(R)S za projekte sufinancirane iz fondova Europske unije. Propisano je da u izračun godišnje obveze JLiP(R)S ne ulazi iznos zaduživanja JLiP(R)S za projekte sufinancirane iz fondova Europske unije do iznosa ukupno prihvatljivog troška projekta sufinanciranog iz fondova Europske unije. </w:t>
      </w:r>
    </w:p>
    <w:p w14:paraId="27CBFD1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Zakon također propisuje da se izvanproračunski korisnici JLiP(R)S i ostale pravne osobe u njihovom većinskom vlasništvu ili suvlasništvu (izuzev ustanova), u svrhu efikasnijeg upravljanja likvidnošću, mogu dugoročno zadužiti i za namjene koje nisu vezane isključivo za investiciju. Navedeno zaduživanje se ne uključuje u opseg zaduživanja JLiP(R)S, osim u slučaju kada jedinica daje jamstvo za dugoročno zaduživanje svog izvanproračunskog korisnika, odnosno pravne osobe u svom većinskom vlasništvu ili suvlasništvu. </w:t>
      </w:r>
    </w:p>
    <w:p w14:paraId="57B8F4C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Sukladno odredbama Zakona o proračunu, JLiP(R)S može dati jamstvo za dugoročno zaduživanje proračunskom i izvanproračunskom korisniku, pravnoj osobi u većinskom vlasništvu ili suvlasništvu JLiP(R)S i ustanovi čiji je osnivač, uz prethodno dobivenu suglasnost ministra financija, za ispunjenje obveza pravne osobe i ustanove. Pod pojmom „obveza“ podrazumijevaju se obveze nastale dugoročnim zaduživanjem temeljem Zakona o proračunu. </w:t>
      </w:r>
    </w:p>
    <w:p w14:paraId="6D92800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Od 2021. godine plaćanja na temelju protestiranih jamstava klasificiraju se kao rashod, a ne kao izdatak, a sukladno tome, povrati po plaćenim protestiranim jamstvima klasificiraju se kao prihod. Jedinice lokalne i područne (regionalne) samouprave koje su davatelji jamstava dužne su procijeniti rizike koji mogu nastati u slučaju da korisnici zajmova, za koje će biti izdana jamstva, neće biti u mogućnosti izvršavati svoje obveze, te na temelju toga, a radi osiguranja plaćanja potencijalnih obveza koje mogu nastati temeljem izdanih jamstava, planirati sredstva u okviru proračuna. </w:t>
      </w:r>
    </w:p>
    <w:p w14:paraId="2847812A" w14:textId="77777777" w:rsidR="00B8467B" w:rsidRPr="00B8467B" w:rsidRDefault="00B8467B" w:rsidP="00B8467B">
      <w:pPr>
        <w:rPr>
          <w:rFonts w:ascii="Calibri" w:eastAsia="Times New Roman" w:hAnsi="Calibri" w:cs="Calibri"/>
          <w:color w:val="000000"/>
          <w:lang w:eastAsia="hr-HR"/>
        </w:rPr>
      </w:pPr>
    </w:p>
    <w:p w14:paraId="5A32E745" w14:textId="77777777" w:rsidR="00B8467B" w:rsidRPr="00B8467B" w:rsidRDefault="00B8467B" w:rsidP="00B8467B">
      <w:pPr>
        <w:rPr>
          <w:rFonts w:ascii="Calibri" w:eastAsia="Times New Roman" w:hAnsi="Calibri" w:cs="Calibri"/>
          <w:color w:val="000000"/>
          <w:lang w:eastAsia="hr-HR"/>
        </w:rPr>
      </w:pPr>
      <w:bookmarkStart w:id="16" w:name="_Toc206054335"/>
      <w:r w:rsidRPr="00B8467B">
        <w:rPr>
          <w:rFonts w:ascii="Calibri" w:eastAsia="Times New Roman" w:hAnsi="Calibri" w:cs="Calibri"/>
          <w:color w:val="000000"/>
          <w:lang w:eastAsia="hr-HR"/>
        </w:rPr>
        <w:t>8. KRAJNJI KORISNICI PRORAČUNSKIH SREDSTAVA OPĆINE NUŠTAR</w:t>
      </w:r>
      <w:bookmarkEnd w:id="16"/>
    </w:p>
    <w:p w14:paraId="6DDF390D" w14:textId="77777777" w:rsidR="00B8467B" w:rsidRPr="00B8467B" w:rsidRDefault="00B8467B" w:rsidP="00B8467B">
      <w:pPr>
        <w:rPr>
          <w:rFonts w:ascii="Calibri" w:eastAsia="Times New Roman" w:hAnsi="Calibri" w:cs="Calibri"/>
          <w:color w:val="000000"/>
          <w:lang w:eastAsia="hr-HR"/>
        </w:rPr>
      </w:pPr>
    </w:p>
    <w:p w14:paraId="279C92A6"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Svi ostali krajnji korisnici proračunskih sredstava Općine NUŠTAR (općinske tvrtke, udruge i ostale institucije) obvezne su Jedinstvenom upravnom odjelu Općine Nuštar dostaviti svoje prijedloge, odnosno zahtjeve za proračunskim sredstvima za slijedeću godinu, a za kapitalne projekte koji su </w:t>
      </w:r>
      <w:r w:rsidRPr="00B8467B">
        <w:rPr>
          <w:rFonts w:ascii="Calibri" w:eastAsia="Times New Roman" w:hAnsi="Calibri" w:cs="Calibri"/>
          <w:color w:val="000000"/>
          <w:lang w:eastAsia="hr-HR"/>
        </w:rPr>
        <w:lastRenderedPageBreak/>
        <w:t xml:space="preserve">višegodišnji za slijedeće 3 godine, najkasnije do 10. listopada 2026. Tvrtke u vlasništvu Općine uz svaki zahtjev za kapitalnim pomoćima obvezni su dostaviti detaljno obrazloženje zahtjeva. </w:t>
      </w:r>
    </w:p>
    <w:p w14:paraId="3CB2A593" w14:textId="77777777" w:rsidR="00B8467B" w:rsidRPr="00B8467B" w:rsidRDefault="00B8467B" w:rsidP="00B8467B">
      <w:pPr>
        <w:rPr>
          <w:rFonts w:ascii="Calibri" w:eastAsia="Times New Roman" w:hAnsi="Calibri" w:cs="Calibri"/>
          <w:color w:val="000000"/>
          <w:lang w:eastAsia="hr-HR"/>
        </w:rPr>
      </w:pPr>
    </w:p>
    <w:p w14:paraId="2C86C5E1" w14:textId="77777777" w:rsidR="00B8467B" w:rsidRPr="00B8467B" w:rsidRDefault="00B8467B" w:rsidP="00B8467B">
      <w:pPr>
        <w:rPr>
          <w:rFonts w:ascii="Calibri" w:eastAsia="Times New Roman" w:hAnsi="Calibri" w:cs="Calibri"/>
          <w:color w:val="000000"/>
          <w:lang w:eastAsia="hr-HR"/>
        </w:rPr>
      </w:pPr>
      <w:bookmarkStart w:id="17" w:name="_Toc206054336"/>
      <w:r w:rsidRPr="00B8467B">
        <w:rPr>
          <w:rFonts w:ascii="Calibri" w:eastAsia="Times New Roman" w:hAnsi="Calibri" w:cs="Calibri"/>
          <w:color w:val="000000"/>
          <w:lang w:eastAsia="hr-HR"/>
        </w:rPr>
        <w:t>9. IZMJENE I DOPUNE FINANCIJSKOG PLANA ZA 2026. GODINU</w:t>
      </w:r>
      <w:bookmarkEnd w:id="17"/>
    </w:p>
    <w:p w14:paraId="49621B89" w14:textId="77777777" w:rsidR="00B8467B" w:rsidRPr="00B8467B" w:rsidRDefault="00B8467B" w:rsidP="00B8467B">
      <w:pPr>
        <w:rPr>
          <w:rFonts w:ascii="Calibri" w:eastAsia="Times New Roman" w:hAnsi="Calibri" w:cs="Calibri"/>
          <w:color w:val="000000"/>
          <w:lang w:eastAsia="hr-HR"/>
        </w:rPr>
      </w:pPr>
    </w:p>
    <w:p w14:paraId="53C7259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Svi proračunski korisnici sredstava Općine NUŠTAR obvezni su Jedinstvenom upravnom odjelu Općine Nuštar dostaviti svoje izmjene i dopune proračunskih planova za 2025. godinu usvojene od nadzornih tijela proračunskog korisnika, najkasnije do </w:t>
      </w:r>
      <w:r w:rsidRPr="00B8467B">
        <w:rPr>
          <w:rFonts w:ascii="Calibri" w:eastAsia="Times New Roman" w:hAnsi="Calibri" w:cs="Calibri"/>
          <w:b/>
          <w:bCs/>
          <w:color w:val="000000"/>
          <w:lang w:eastAsia="hr-HR"/>
        </w:rPr>
        <w:t>10. listopada 2025.</w:t>
      </w:r>
    </w:p>
    <w:p w14:paraId="19FA155B" w14:textId="77777777" w:rsidR="00B8467B" w:rsidRPr="00B8467B" w:rsidRDefault="00B8467B" w:rsidP="00B8467B">
      <w:pPr>
        <w:rPr>
          <w:rFonts w:ascii="Calibri" w:eastAsia="Times New Roman" w:hAnsi="Calibri" w:cs="Calibri"/>
          <w:color w:val="000000"/>
          <w:lang w:eastAsia="hr-HR"/>
        </w:rPr>
      </w:pPr>
    </w:p>
    <w:p w14:paraId="2A12156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Tablica 6. </w:t>
      </w:r>
    </w:p>
    <w:tbl>
      <w:tblPr>
        <w:tblStyle w:val="Reetkatablice"/>
        <w:tblW w:w="0" w:type="auto"/>
        <w:tblLook w:val="04A0" w:firstRow="1" w:lastRow="0" w:firstColumn="1" w:lastColumn="0" w:noHBand="0" w:noVBand="1"/>
      </w:tblPr>
      <w:tblGrid>
        <w:gridCol w:w="3539"/>
        <w:gridCol w:w="2693"/>
        <w:gridCol w:w="2268"/>
      </w:tblGrid>
      <w:tr w:rsidR="00B8467B" w:rsidRPr="00B8467B" w14:paraId="15E730C7" w14:textId="77777777" w:rsidTr="007A31C6">
        <w:tc>
          <w:tcPr>
            <w:tcW w:w="3539" w:type="dxa"/>
          </w:tcPr>
          <w:p w14:paraId="12CD00D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PRORAČUNSKI KORISNIK</w:t>
            </w:r>
          </w:p>
        </w:tc>
        <w:tc>
          <w:tcPr>
            <w:tcW w:w="2693" w:type="dxa"/>
          </w:tcPr>
          <w:p w14:paraId="5DA616D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PLAN 2026</w:t>
            </w:r>
          </w:p>
        </w:tc>
        <w:tc>
          <w:tcPr>
            <w:tcW w:w="2268" w:type="dxa"/>
          </w:tcPr>
          <w:p w14:paraId="47C61A2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NOVI PLAN 2027</w:t>
            </w:r>
          </w:p>
        </w:tc>
      </w:tr>
      <w:tr w:rsidR="00B8467B" w:rsidRPr="00B8467B" w14:paraId="2A9E32FF" w14:textId="77777777" w:rsidTr="007A31C6">
        <w:tc>
          <w:tcPr>
            <w:tcW w:w="3539" w:type="dxa"/>
          </w:tcPr>
          <w:p w14:paraId="61470281"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Predškolska ustanova Vrtuljak</w:t>
            </w:r>
          </w:p>
        </w:tc>
        <w:tc>
          <w:tcPr>
            <w:tcW w:w="2693" w:type="dxa"/>
          </w:tcPr>
          <w:p w14:paraId="7C380240"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788.000,00</w:t>
            </w:r>
          </w:p>
        </w:tc>
        <w:tc>
          <w:tcPr>
            <w:tcW w:w="2268" w:type="dxa"/>
          </w:tcPr>
          <w:p w14:paraId="0BBB46F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1.117.000,00</w:t>
            </w:r>
          </w:p>
        </w:tc>
      </w:tr>
      <w:tr w:rsidR="00B8467B" w:rsidRPr="00B8467B" w14:paraId="0923CDDE" w14:textId="77777777" w:rsidTr="007A31C6">
        <w:tc>
          <w:tcPr>
            <w:tcW w:w="3539" w:type="dxa"/>
          </w:tcPr>
          <w:p w14:paraId="12171C2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Narodna knjižnica i Čitaonica</w:t>
            </w:r>
          </w:p>
        </w:tc>
        <w:tc>
          <w:tcPr>
            <w:tcW w:w="2693" w:type="dxa"/>
          </w:tcPr>
          <w:p w14:paraId="1B9F005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44.900,00</w:t>
            </w:r>
          </w:p>
        </w:tc>
        <w:tc>
          <w:tcPr>
            <w:tcW w:w="2268" w:type="dxa"/>
          </w:tcPr>
          <w:p w14:paraId="3DDE02F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53.000,00</w:t>
            </w:r>
          </w:p>
        </w:tc>
      </w:tr>
    </w:tbl>
    <w:p w14:paraId="3D9D69DB" w14:textId="77777777" w:rsidR="00B8467B" w:rsidRPr="00B8467B" w:rsidRDefault="00B8467B" w:rsidP="00B8467B">
      <w:pPr>
        <w:rPr>
          <w:rFonts w:ascii="Calibri" w:eastAsia="Times New Roman" w:hAnsi="Calibri" w:cs="Calibri"/>
          <w:color w:val="000000"/>
          <w:lang w:eastAsia="hr-HR"/>
        </w:rPr>
      </w:pPr>
    </w:p>
    <w:p w14:paraId="5AF2D6D7" w14:textId="77777777" w:rsidR="00B8467B" w:rsidRPr="00B8467B" w:rsidRDefault="00B8467B" w:rsidP="00B8467B">
      <w:pPr>
        <w:rPr>
          <w:rFonts w:ascii="Calibri" w:eastAsia="Times New Roman" w:hAnsi="Calibri" w:cs="Calibri"/>
          <w:color w:val="000000"/>
          <w:lang w:eastAsia="hr-HR"/>
        </w:rPr>
      </w:pPr>
      <w:bookmarkStart w:id="18" w:name="_Toc206054337"/>
      <w:r w:rsidRPr="00B8467B">
        <w:rPr>
          <w:rFonts w:ascii="Calibri" w:eastAsia="Times New Roman" w:hAnsi="Calibri" w:cs="Calibri"/>
          <w:color w:val="000000"/>
          <w:lang w:eastAsia="hr-HR"/>
        </w:rPr>
        <w:t>10. ULAZAK U SUSTAV RIZNICE</w:t>
      </w:r>
      <w:bookmarkEnd w:id="18"/>
    </w:p>
    <w:p w14:paraId="3128DF9B"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Kad spominjemo pojam riznice većina pomisli na informatičko rješenje kojim se povezuju procesi planiranja i izvršavanja proračuna između nadležnog proračuna i njegovih proračunskih korisnika. Ta definicija je točna, ali ujedno i nepotpuna. Riznica je puno širi pojam od slanja podataka. Ona uključuje kompletne procese u proračunu i proračunskom računovodstvu, a utječe i na sistematizaciju radnih mjesta.</w:t>
      </w:r>
    </w:p>
    <w:p w14:paraId="08170D8F"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Ustroj jedinstvenog računa proračuna na kojem se ostvaruju svi priljevi i izvršavaju svi odljevi proračuna i proračunskih korisnika propisan je Zakonom o proračunu i to ne zadnjim izmjenama. Zakon o proračunu iz 1995. godine prvi put spominje riznicu kao organizacijsku jedinicu Ministarstva financija.</w:t>
      </w:r>
    </w:p>
    <w:p w14:paraId="776FEF0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Pojam jedinstvenog računa riznice proračuna jedinica lokalne i područne (regionalne) samouprave spominje se prvi put u Zakonu o proračunu iz 2003. godine i definira riznicu kao sustav računa proračuna preko kojeg se izvršavaju uplate prihoda i primitaka te isplate rashoda i izdataka.</w:t>
      </w:r>
    </w:p>
    <w:p w14:paraId="1C31D5B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Zakon o proračunu koji je stupio na snagu 1. siječnja 2022. godine, jasno je naveo da jedinica lokalne i područne (regionalne) samouprave ima jedinstveni račun proračuna koji se otvara i vodi u kreditnoj instituciji, a na kojem se ostvaruju svi priljevi i izvršavaju svi odljevi proračuna i proračunskih korisnika jedinice lokalne i područne (regionalne) samouprave. Isti Zakon i dalje propisuje mogućnost izuzeća od riznice, ali tanka je linija zbog koje je moguće propisati izuzeće.</w:t>
      </w:r>
    </w:p>
    <w:p w14:paraId="3EE04577"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Pravilnik o načinu i uvjetima otvaranja računa za provedbu specifičnih transakcija proračuna i proračunskih korisnika uredio je mogućnost otvaranja dodatnih računa uz jedinstveni račun proračuna za transakcije koji se po svojoj svrsi, namjeni, načinu provođenja i ostalim obilježjima ne mogu provoditi izravno preko jedinstvenog računa proračuna. Kao točka na i, izašao je Pravilnik o proračunskom računovodstvu i Računskom planu koji na snagu stupa 1. siječnja 2025. godine.</w:t>
      </w:r>
    </w:p>
    <w:p w14:paraId="3CD5AF5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Jedna od velikih novosti Pravilnika je uspostava Objedinjene glavne knjige proračuna. Člankom 12. definirano je „Proračuni koji posluju preko jedinstvenog računa proračuna imaju obvezu uspostaviti Objedinjenu glavnu knjigu proračuna koja se sastoji od Glavne knjige proračuna i Glavnih knjiga proračunskih korisnika iz nadležnosti proračuna.“</w:t>
      </w:r>
    </w:p>
    <w:p w14:paraId="6CB5410C"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Istim Pravilnikom propisana je obveza za sve proračune čiji proračunski korisnici u trenutku stupanja na snagu ovog Pravilnika ne posluju preko jedinstvenog računa proračuna već preko vlastitih računa u poslovnim bankama, obvezni su uspostaviti Objedinjenu glavnu knjigu proračuna do 1. siječnja 2026. godine. Jedinstveni račun proračuna odnosno riznica, zakonska je obveza i proizlazi iz temeljnog zakona, Zakona o proračunu. Rok za uspostavu riznice mogao se očekivati i bilo je pitanje vremena kad bi bio propisan.</w:t>
      </w:r>
    </w:p>
    <w:p w14:paraId="008D6765"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Svrha uspostave riznice krije se u objedinjavanju proračunskih procesa između nadležnog proračuna i njegovih proračunskih korisnika.</w:t>
      </w:r>
      <w:r w:rsidRPr="00B8467B">
        <w:rPr>
          <w:rFonts w:ascii="Calibri" w:eastAsia="Times New Roman" w:hAnsi="Calibri" w:cs="Calibri"/>
          <w:color w:val="000000"/>
          <w:lang w:eastAsia="hr-HR"/>
        </w:rPr>
        <w:br/>
        <w:t>Objedinjavanje procesa automatski znači veću kontrolu nad trošenjem proračunskih sredstava, bolje i kvalitetnije upravljanje likvidnošću, fiskalni nadzor nad poslovanjem korisnika i u konačnici realnije i kvalitetnije planiranje i izvršavanje proračuna.</w:t>
      </w:r>
      <w:r w:rsidRPr="00B8467B">
        <w:rPr>
          <w:rFonts w:ascii="Calibri" w:eastAsia="Times New Roman" w:hAnsi="Calibri" w:cs="Calibri"/>
          <w:color w:val="000000"/>
          <w:lang w:eastAsia="hr-HR"/>
        </w:rPr>
        <w:br/>
        <w:t>Uspostava riznice zahtjeva određene odluke i procedure, ima računovodstvene preduvjete, a u nekim situacijama potrebna je i revizija sistematizacije radnih mjesta.</w:t>
      </w:r>
    </w:p>
    <w:p w14:paraId="4BC42EE2"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lastRenderedPageBreak/>
        <w:t>Prvi korak ulaska u sustav riznice je donošenje Odluke o ulasku u sustav riznice. Preporuka je donošenje Odluke na razini predstavničkog tijela, ali isto nije nužno. Odluku može donijeti i čelnik JLP(R)S. U Odluci se definira tko ulazi u riznicu, popisuju proračunski korisnici, trenutak ulaska u riznicu, koji može biti točno određeni datum ili određen razdoblje i definiraju se ovlasti čelnika za donošenje posebnih akata kojima će se urediti druga pitanja usko vezana uz izvršenje procesa u sklopu riznice.</w:t>
      </w:r>
    </w:p>
    <w:p w14:paraId="40477FDA"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S obzirom na obvezu uspostavljanja Objedinjene glavne knjige proračuna, preporuka je provjeriti računovodstvene evidencije i napraviti analize podataka kod proračunskih korisnika. Ulaskom u sustav riznice, procesi se objedinjavaju i svi sudionici trebaju biti upoznati s procesima evidentiranja istih poslovnih događaja.</w:t>
      </w:r>
    </w:p>
    <w:p w14:paraId="120094C8"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Kako bi riznica mogla nesmetano funkcionirati potrebno je ažurno ovjeravati zahtjeve i vršiti plaćanja obveza svih sudionika riznice. Interni procesi ovjere i plaćanja moraju biti ustrojeni, a za navedeno je ponekad potrebno izvršiti reviziju sistematizacije radnih mjesta.</w:t>
      </w:r>
      <w:r w:rsidRPr="00B8467B">
        <w:rPr>
          <w:rFonts w:ascii="Calibri" w:eastAsia="Times New Roman" w:hAnsi="Calibri" w:cs="Calibri"/>
          <w:color w:val="000000"/>
          <w:lang w:eastAsia="hr-HR"/>
        </w:rPr>
        <w:br/>
        <w:t>Promjena sistematizacije i postupak zapošljavanja je postupak koji ima vremensko trajanje i potrebno ga je predvidjeti i uključiti u vremensku komponentu kod planiranja projekta ulaska u sustav riznice.</w:t>
      </w:r>
    </w:p>
    <w:p w14:paraId="3B58742E"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Riznica podrazumijeva jedinstveni račun proračuna u kojem proračunski korisnici nemaju otvorene svoje račune u poslovnim bankama i sve platne transakcije odvijaju se putem jedinstvenog računa. Navedeno omogućuje bolje upravljanje likvidnošću i platnim prometom, ali takav način poslovanja zahtjeva određenu pripremu.</w:t>
      </w:r>
    </w:p>
    <w:p w14:paraId="4B6DD30A"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Ono što je bitno napomenuti je da se ukidanjem računa proračunskim korisnicima ne oduzima autonomija čelnicima proračunskih korisnika. Čelnici proračunskih korisnika i dalje su odgovorni pred zakonom za poslovanje svoje institucije, za pravodobnu i potpunu naplatu prihoda i izvršenje rashoda sukladno proračunskim odredbama.</w:t>
      </w:r>
    </w:p>
    <w:p w14:paraId="4F4607AA" w14:textId="77777777" w:rsidR="00B8467B" w:rsidRPr="00B8467B" w:rsidRDefault="00B8467B" w:rsidP="00B8467B">
      <w:pPr>
        <w:rPr>
          <w:rFonts w:ascii="Calibri" w:eastAsia="Times New Roman" w:hAnsi="Calibri" w:cs="Calibri"/>
          <w:color w:val="000000"/>
          <w:lang w:eastAsia="hr-HR"/>
        </w:rPr>
      </w:pPr>
    </w:p>
    <w:p w14:paraId="4CA0E737" w14:textId="77777777" w:rsidR="00B8467B" w:rsidRPr="00B8467B" w:rsidRDefault="00B8467B" w:rsidP="00B8467B">
      <w:pPr>
        <w:rPr>
          <w:rFonts w:ascii="Calibri" w:eastAsia="Times New Roman" w:hAnsi="Calibri" w:cs="Calibri"/>
          <w:color w:val="000000"/>
          <w:lang w:eastAsia="hr-HR"/>
        </w:rPr>
      </w:pPr>
    </w:p>
    <w:p w14:paraId="53D2F661" w14:textId="77777777" w:rsidR="00B8467B" w:rsidRPr="00B8467B" w:rsidRDefault="00B8467B" w:rsidP="00B8467B">
      <w:pPr>
        <w:rPr>
          <w:rFonts w:ascii="Calibri" w:eastAsia="Times New Roman" w:hAnsi="Calibri" w:cs="Calibri"/>
          <w:color w:val="000000"/>
          <w:lang w:eastAsia="hr-HR"/>
        </w:rPr>
      </w:pPr>
    </w:p>
    <w:p w14:paraId="5F42D96D" w14:textId="77777777" w:rsidR="00B8467B" w:rsidRPr="00B8467B" w:rsidRDefault="00B8467B" w:rsidP="00B8467B">
      <w:pPr>
        <w:rPr>
          <w:rFonts w:ascii="Calibri" w:eastAsia="Times New Roman" w:hAnsi="Calibri" w:cs="Calibri"/>
          <w:color w:val="000000"/>
          <w:lang w:eastAsia="hr-HR"/>
        </w:rPr>
      </w:pPr>
    </w:p>
    <w:p w14:paraId="229C23E9" w14:textId="77777777" w:rsidR="00B8467B" w:rsidRPr="00B8467B" w:rsidRDefault="00B8467B" w:rsidP="00B8467B">
      <w:pPr>
        <w:rPr>
          <w:rFonts w:ascii="Calibri" w:eastAsia="Times New Roman" w:hAnsi="Calibri" w:cs="Calibri"/>
          <w:color w:val="000000"/>
          <w:lang w:eastAsia="hr-HR"/>
        </w:rPr>
      </w:pPr>
    </w:p>
    <w:p w14:paraId="5B1A580B" w14:textId="77777777" w:rsidR="00B8467B" w:rsidRPr="00B8467B" w:rsidRDefault="00B8467B" w:rsidP="00B8467B">
      <w:pPr>
        <w:rPr>
          <w:rFonts w:ascii="Calibri" w:eastAsia="Times New Roman" w:hAnsi="Calibri" w:cs="Calibri"/>
          <w:b/>
          <w:bCs/>
          <w:color w:val="000000"/>
          <w:lang w:eastAsia="hr-HR"/>
        </w:rPr>
      </w:pPr>
      <w:bookmarkStart w:id="19" w:name="_Toc206054338"/>
      <w:r w:rsidRPr="00B8467B">
        <w:rPr>
          <w:rFonts w:ascii="Calibri" w:eastAsia="Times New Roman" w:hAnsi="Calibri" w:cs="Calibri"/>
          <w:b/>
          <w:bCs/>
          <w:color w:val="000000"/>
          <w:lang w:eastAsia="hr-HR"/>
        </w:rPr>
        <w:t>11.DOSTUPNOST MATERIJALA</w:t>
      </w:r>
      <w:bookmarkEnd w:id="19"/>
      <w:r w:rsidRPr="00B8467B">
        <w:rPr>
          <w:rFonts w:ascii="Calibri" w:eastAsia="Times New Roman" w:hAnsi="Calibri" w:cs="Calibri"/>
          <w:b/>
          <w:bCs/>
          <w:color w:val="000000"/>
          <w:lang w:eastAsia="hr-HR"/>
        </w:rPr>
        <w:t xml:space="preserve"> </w:t>
      </w:r>
    </w:p>
    <w:p w14:paraId="1CB072E4" w14:textId="77777777" w:rsidR="00B8467B" w:rsidRPr="00B8467B" w:rsidRDefault="00B8467B" w:rsidP="00B8467B">
      <w:pPr>
        <w:rPr>
          <w:rFonts w:ascii="Calibri" w:eastAsia="Times New Roman" w:hAnsi="Calibri" w:cs="Calibri"/>
          <w:color w:val="000000"/>
          <w:lang w:eastAsia="hr-HR"/>
        </w:rPr>
      </w:pPr>
    </w:p>
    <w:p w14:paraId="383466F3" w14:textId="77777777" w:rsidR="00B8467B" w:rsidRPr="00B8467B" w:rsidRDefault="00B8467B" w:rsidP="00B8467B">
      <w:pPr>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Na Internet stranici Općine Nuštar www.nustar.hr nalaze se: - Upute za izradu proračuna i financijskih planova proračunskih korisnika Općine NUŠTAR za razdoblje od 2027. do 2029. godine.  I izmjene i dopune financijskih planova za 2026. godinu- Prilog 1: Obrazac financijskog plana (u excel formatu). </w:t>
      </w:r>
    </w:p>
    <w:p w14:paraId="4D5E551D" w14:textId="77777777" w:rsidR="00B8467B" w:rsidRPr="00B8467B" w:rsidRDefault="00B8467B" w:rsidP="00B8467B">
      <w:pPr>
        <w:rPr>
          <w:rFonts w:ascii="Calibri" w:eastAsia="Times New Roman" w:hAnsi="Calibri" w:cs="Calibri"/>
          <w:color w:val="000000"/>
          <w:lang w:eastAsia="hr-HR"/>
        </w:rPr>
      </w:pPr>
    </w:p>
    <w:p w14:paraId="36F41566" w14:textId="77777777" w:rsidR="00B8467B" w:rsidRPr="00B8467B" w:rsidRDefault="00B8467B" w:rsidP="00B8467B">
      <w:pPr>
        <w:rPr>
          <w:rFonts w:ascii="Calibri" w:eastAsia="Times New Roman" w:hAnsi="Calibri" w:cs="Calibri"/>
          <w:color w:val="000000"/>
          <w:lang w:eastAsia="hr-HR"/>
        </w:rPr>
      </w:pPr>
    </w:p>
    <w:p w14:paraId="4CE5B80E" w14:textId="77777777" w:rsidR="00B8467B" w:rsidRPr="00B8467B" w:rsidRDefault="00B8467B" w:rsidP="00B8467B">
      <w:pPr>
        <w:rPr>
          <w:rFonts w:ascii="Calibri" w:eastAsia="Times New Roman" w:hAnsi="Calibri" w:cs="Calibri"/>
          <w:color w:val="000000"/>
          <w:lang w:eastAsia="hr-HR"/>
        </w:rPr>
      </w:pPr>
    </w:p>
    <w:p w14:paraId="23D2CE4C" w14:textId="77777777" w:rsidR="00B8467B" w:rsidRPr="00B8467B" w:rsidRDefault="00B8467B" w:rsidP="00B8467B">
      <w:pPr>
        <w:rPr>
          <w:rFonts w:ascii="Calibri" w:eastAsia="Times New Roman" w:hAnsi="Calibri" w:cs="Calibri"/>
          <w:color w:val="000000"/>
          <w:lang w:eastAsia="hr-HR"/>
        </w:rPr>
      </w:pPr>
    </w:p>
    <w:p w14:paraId="10547700" w14:textId="77777777" w:rsidR="00B8467B" w:rsidRDefault="00B8467B" w:rsidP="00B8467B">
      <w:pPr>
        <w:ind w:left="2124" w:firstLine="708"/>
        <w:jc w:val="right"/>
        <w:rPr>
          <w:rFonts w:ascii="Calibri" w:eastAsia="Times New Roman" w:hAnsi="Calibri" w:cs="Calibri"/>
          <w:color w:val="000000"/>
          <w:lang w:eastAsia="hr-HR"/>
        </w:rPr>
      </w:pPr>
      <w:r w:rsidRPr="00B8467B">
        <w:rPr>
          <w:rFonts w:ascii="Calibri" w:eastAsia="Times New Roman" w:hAnsi="Calibri" w:cs="Calibri"/>
          <w:color w:val="000000"/>
          <w:lang w:eastAsia="hr-HR"/>
        </w:rPr>
        <w:t xml:space="preserve">PROČELNICA </w:t>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r>
      <w:r w:rsidRPr="00B8467B">
        <w:rPr>
          <w:rFonts w:ascii="Calibri" w:eastAsia="Times New Roman" w:hAnsi="Calibri" w:cs="Calibri"/>
          <w:color w:val="000000"/>
          <w:lang w:eastAsia="hr-HR"/>
        </w:rPr>
        <w:tab/>
        <w:t xml:space="preserve"> </w:t>
      </w:r>
    </w:p>
    <w:p w14:paraId="694111F3" w14:textId="1365F8E5" w:rsidR="00B8467B" w:rsidRPr="00B8467B" w:rsidRDefault="00B8467B" w:rsidP="00B8467B">
      <w:pPr>
        <w:ind w:left="4248" w:firstLine="708"/>
        <w:jc w:val="center"/>
        <w:rPr>
          <w:rFonts w:ascii="Calibri" w:eastAsia="Times New Roman" w:hAnsi="Calibri" w:cs="Calibri"/>
          <w:color w:val="000000"/>
          <w:lang w:eastAsia="hr-HR"/>
        </w:rPr>
      </w:pPr>
      <w:r w:rsidRPr="00B8467B">
        <w:rPr>
          <w:rFonts w:ascii="Calibri" w:eastAsia="Times New Roman" w:hAnsi="Calibri" w:cs="Calibri"/>
          <w:color w:val="000000"/>
          <w:lang w:eastAsia="hr-HR"/>
        </w:rPr>
        <w:t>Maja Matijašević</w:t>
      </w:r>
    </w:p>
    <w:p w14:paraId="005A770A" w14:textId="77777777" w:rsidR="00B8467B" w:rsidRPr="00B8467B" w:rsidRDefault="00B8467B" w:rsidP="00B8467B">
      <w:pPr>
        <w:rPr>
          <w:rFonts w:ascii="Calibri" w:eastAsia="Times New Roman" w:hAnsi="Calibri" w:cs="Calibri"/>
          <w:color w:val="000000"/>
          <w:lang w:eastAsia="hr-HR"/>
        </w:rPr>
      </w:pPr>
    </w:p>
    <w:p w14:paraId="3ABA88D4" w14:textId="1B9320CA" w:rsidR="00D707B3" w:rsidRPr="0063773E" w:rsidRDefault="00D707B3" w:rsidP="00B8467B">
      <w:pPr>
        <w:rPr>
          <w:rFonts w:ascii="Calibri" w:eastAsia="Times New Roman" w:hAnsi="Calibri" w:cs="Calibri"/>
          <w:color w:val="000000"/>
          <w:lang w:eastAsia="hr-HR"/>
        </w:rPr>
      </w:pPr>
    </w:p>
    <w:p w14:paraId="21200C07" w14:textId="77777777" w:rsidR="00D707B3" w:rsidRDefault="00D707B3" w:rsidP="00D707B3"/>
    <w:p w14:paraId="657A284E" w14:textId="77777777" w:rsidR="00D707B3" w:rsidRDefault="00D707B3" w:rsidP="00D707B3"/>
    <w:p w14:paraId="1A692848" w14:textId="4124CC35" w:rsidR="00D707B3" w:rsidRDefault="00D707B3" w:rsidP="00D707B3"/>
    <w:p w14:paraId="3BBAD26A" w14:textId="44EDBF92" w:rsidR="00D707B3" w:rsidRDefault="00D707B3" w:rsidP="00D707B3"/>
    <w:p w14:paraId="6FDB1A94" w14:textId="77777777" w:rsidR="008C5FE5" w:rsidRDefault="008C5FE5" w:rsidP="00D707B3"/>
    <w:p w14:paraId="372E8CE5" w14:textId="0FE0071C" w:rsidR="00D707B3" w:rsidRDefault="00D707B3" w:rsidP="00D707B3"/>
    <w:p w14:paraId="207D6F73" w14:textId="0729640D" w:rsidR="00D707B3" w:rsidRDefault="00D707B3" w:rsidP="00D707B3"/>
    <w:p w14:paraId="59EFEEF5" w14:textId="64AF1B99" w:rsidR="00D707B3" w:rsidRDefault="00D707B3" w:rsidP="00D707B3"/>
    <w:p w14:paraId="2CC29A52" w14:textId="77777777" w:rsidR="00D707B3" w:rsidRDefault="00D707B3" w:rsidP="00D707B3"/>
    <w:p w14:paraId="4F3B13DE" w14:textId="77777777" w:rsidR="00D707B3" w:rsidRDefault="00D707B3" w:rsidP="00D707B3"/>
    <w:p w14:paraId="2DE46E4B" w14:textId="77777777" w:rsidR="00D707B3" w:rsidRDefault="00D707B3" w:rsidP="00D707B3">
      <w:pPr>
        <w:jc w:val="right"/>
      </w:pPr>
    </w:p>
    <w:p w14:paraId="2F67EE11" w14:textId="77777777" w:rsidR="00D707B3" w:rsidRDefault="00D707B3" w:rsidP="00D707B3"/>
    <w:p w14:paraId="5D8B9E09" w14:textId="77777777" w:rsidR="00B92D0F" w:rsidRPr="00B92D0F" w:rsidRDefault="00B92D0F" w:rsidP="00B92D0F">
      <w:pPr>
        <w:spacing w:after="160" w:line="259" w:lineRule="auto"/>
        <w:jc w:val="right"/>
        <w:rPr>
          <w:rFonts w:eastAsia="Times New Roman" w:cs="Times New Roman"/>
          <w:noProof w:val="0"/>
        </w:rPr>
      </w:pPr>
    </w:p>
    <w:p w14:paraId="503AA9F7" w14:textId="77777777" w:rsidR="00B92D0F" w:rsidRPr="00B92D0F" w:rsidRDefault="00B92D0F" w:rsidP="00B92D0F">
      <w:pPr>
        <w:spacing w:after="160" w:line="259" w:lineRule="auto"/>
        <w:rPr>
          <w:rFonts w:eastAsia="Times New Roman" w:cs="Times New Roman"/>
          <w:noProof w:val="0"/>
        </w:rPr>
      </w:pPr>
    </w:p>
    <w:p w14:paraId="75975BBE" w14:textId="77777777" w:rsidR="00B92D0F" w:rsidRPr="00B92D0F" w:rsidRDefault="00B92D0F" w:rsidP="00B92D0F">
      <w:pPr>
        <w:spacing w:after="160" w:line="259" w:lineRule="auto"/>
        <w:rPr>
          <w:rFonts w:eastAsia="Times New Roman" w:cs="Times New Roman"/>
          <w:noProof w:val="0"/>
        </w:rPr>
      </w:pPr>
    </w:p>
    <w:p w14:paraId="4AA78142" w14:textId="77777777" w:rsidR="00B92D0F" w:rsidRPr="00B92D0F" w:rsidRDefault="00B92D0F" w:rsidP="00B92D0F">
      <w:pPr>
        <w:spacing w:after="160" w:line="259" w:lineRule="auto"/>
        <w:rPr>
          <w:rFonts w:eastAsia="Times New Roman" w:cs="Times New Roman"/>
          <w:noProof w:val="0"/>
        </w:rPr>
      </w:pPr>
    </w:p>
    <w:p w14:paraId="53408CE5" w14:textId="12261E34" w:rsidR="008A562A" w:rsidRDefault="00D707B3">
      <w:pPr>
        <w:rPr>
          <w:b/>
        </w:rPr>
      </w:pPr>
      <w:r>
        <w:rPr>
          <w:b/>
          <w:lang w:eastAsia="hr-HR"/>
        </w:rPr>
        <mc:AlternateContent>
          <mc:Choice Requires="wps">
            <w:drawing>
              <wp:anchor distT="0" distB="0" distL="114300" distR="114300" simplePos="0" relativeHeight="251672576" behindDoc="0" locked="1" layoutInCell="1" allowOverlap="1" wp14:anchorId="6E6A168A" wp14:editId="71E2500E">
                <wp:simplePos x="0" y="0"/>
                <wp:positionH relativeFrom="page">
                  <wp:posOffset>109220</wp:posOffset>
                </wp:positionH>
                <wp:positionV relativeFrom="page">
                  <wp:posOffset>9266555</wp:posOffset>
                </wp:positionV>
                <wp:extent cx="3535045" cy="101473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045" cy="1014730"/>
                        </a:xfrm>
                        <a:prstGeom prst="rect">
                          <a:avLst/>
                        </a:prstGeom>
                        <a:solidFill>
                          <a:srgbClr val="FFFFFF"/>
                        </a:solidFill>
                        <a:ln w="9525">
                          <a:noFill/>
                          <a:miter lim="800000"/>
                          <a:headEnd/>
                          <a:tailEnd/>
                        </a:ln>
                      </wps:spPr>
                      <wps:txbx>
                        <w:txbxContent>
                          <w:p w14:paraId="76EF94CE" w14:textId="77777777" w:rsidR="008A562A" w:rsidRDefault="008A562A">
                            <w:pPr>
                              <w:contextual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a14="http://schemas.microsoft.com/office/drawing/2010/main" xmlns:a="http://schemas.openxmlformats.org/drawingml/2006/main" xmlns:sl="http://schemas.openxmlformats.org/schemaLibrary/2006/main">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" type="#_x0000_t202" style="position:absolute;margin-left:8.6pt;margin-top:729.65pt;width:278.35pt;height:79.9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id="Text Box 2" o:spid="_x0000_s1026" stroked="f">
                <v:textbox>
                  <w:txbxContent>
                    <w:p w:rsidR="008A562A" w:rsidRDefault="008A562A" w14:paraId="76EF94CE" w14:textId="77777777">
                      <w:pPr>
                        <w:contextualSpacing/>
                      </w:pPr>
                    </w:p>
                  </w:txbxContent>
                </v:textbox>
                <w10:wrap anchorx="page" anchory="page"/>
                <w10:anchorlock/>
              </v:shape>
            </w:pict>
          </mc:Fallback>
        </mc:AlternateContent>
      </w:r>
    </w:p>
    <w:sectPr w:rsidR="008A562A">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275B0C"/>
    <w:rsid w:val="00347D72"/>
    <w:rsid w:val="003F65C1"/>
    <w:rsid w:val="004B38FC"/>
    <w:rsid w:val="00693AB1"/>
    <w:rsid w:val="007C7BD9"/>
    <w:rsid w:val="008A562A"/>
    <w:rsid w:val="008C5FE5"/>
    <w:rsid w:val="009B1F0C"/>
    <w:rsid w:val="009B7A12"/>
    <w:rsid w:val="00A836D0"/>
    <w:rsid w:val="00AC35DA"/>
    <w:rsid w:val="00B8467B"/>
    <w:rsid w:val="00B92D0F"/>
    <w:rsid w:val="00C9578C"/>
    <w:rsid w:val="00D707B3"/>
    <w:rsid w:val="00DD4985"/>
    <w:rsid w:val="00DE65B5"/>
    <w:rsid w:val="00E5540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2B23"/>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B84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6F90C402-595A-4E38-B80E-0F46F237F9B1}">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main"/>
    <ds:schemaRef ds:uri="http://schemas.microsoft.com/office/drawing/2010/main"/>
    <ds:schemaRef ds:uri="http://schemas.openxmlformats.org/drawingml/2006/wordprocessingDrawing"/>
    <ds:schemaRef ds:uri="http://schemas.microsoft.com/office/word/2010/wordprocessingDrawing"/>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5811</Words>
  <Characters>33129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Općina Nuštar</cp:lastModifiedBy>
  <cp:revision>5</cp:revision>
  <cp:lastPrinted>2014-11-26T14:09:00Z</cp:lastPrinted>
  <dcterms:created xsi:type="dcterms:W3CDTF">2023-03-07T08:10:00Z</dcterms:created>
  <dcterms:modified xsi:type="dcterms:W3CDTF">2026-09-17T08:41:00Z</dcterms:modified>
</cp:coreProperties>
</file>